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7571">
      <w:pPr>
        <w:widowControl/>
        <w:spacing w:before="312" w:beforeLines="100" w:after="312" w:afterLines="100" w:line="400" w:lineRule="exact"/>
        <w:jc w:val="center"/>
        <w:rPr>
          <w:rFonts w:hint="eastAsia" w:ascii="Times New Roman" w:hAnsi="Times New Roman" w:eastAsia="宋体" w:cs="宋体"/>
          <w:b/>
          <w:color w:val="000000"/>
          <w:kern w:val="0"/>
          <w:sz w:val="36"/>
          <w:szCs w:val="36"/>
          <w:highlight w:val="none"/>
          <w:lang w:val="en-US" w:eastAsia="zh-CN" w:bidi="ar-SA"/>
        </w:rPr>
      </w:pPr>
      <w:bookmarkStart w:id="0" w:name="_Toc505938418"/>
      <w:bookmarkStart w:id="1" w:name="_Toc36456410"/>
      <w:bookmarkStart w:id="2" w:name="_Toc36456455"/>
      <w:bookmarkStart w:id="3" w:name="_Toc36456882"/>
      <w:bookmarkStart w:id="4" w:name="_Toc503388349"/>
      <w:r>
        <w:rPr>
          <w:rFonts w:hint="eastAsia" w:ascii="Times New Roman" w:hAnsi="Times New Roman" w:eastAsia="宋体" w:cs="宋体"/>
          <w:b/>
          <w:color w:val="000000"/>
          <w:kern w:val="0"/>
          <w:sz w:val="36"/>
          <w:szCs w:val="36"/>
          <w:highlight w:val="none"/>
          <w:lang w:val="en-US" w:eastAsia="zh-CN" w:bidi="ar-SA"/>
        </w:rPr>
        <w:t>宁波振诚矿业绿色矿山景观设计施工总承包项目</w:t>
      </w:r>
    </w:p>
    <w:p w14:paraId="7B7411CA">
      <w:pPr>
        <w:pStyle w:val="2"/>
        <w:spacing w:before="0" w:after="0" w:line="276" w:lineRule="auto"/>
        <w:jc w:val="center"/>
        <w:rPr>
          <w:rFonts w:hint="default" w:ascii="Times New Roman" w:hAnsi="Times New Roman" w:eastAsia="宋体"/>
          <w:bCs/>
          <w:sz w:val="36"/>
          <w:szCs w:val="36"/>
          <w:highlight w:val="none"/>
          <w:lang w:val="en-US" w:eastAsia="zh-CN"/>
        </w:rPr>
      </w:pPr>
      <w:r>
        <w:rPr>
          <w:rFonts w:ascii="Times New Roman" w:hAnsi="Times New Roman" w:eastAsia="宋体"/>
          <w:sz w:val="36"/>
          <w:szCs w:val="36"/>
          <w:highlight w:val="none"/>
        </w:rPr>
        <w:t>招标</w:t>
      </w:r>
      <w:bookmarkEnd w:id="0"/>
      <w:bookmarkEnd w:id="1"/>
      <w:bookmarkEnd w:id="2"/>
      <w:bookmarkEnd w:id="3"/>
      <w:r>
        <w:rPr>
          <w:rFonts w:hint="eastAsia" w:ascii="Times New Roman" w:hAnsi="Times New Roman" w:eastAsia="宋体"/>
          <w:sz w:val="36"/>
          <w:szCs w:val="36"/>
          <w:highlight w:val="none"/>
          <w:lang w:val="en-US" w:eastAsia="zh-CN"/>
        </w:rPr>
        <w:t>结果公示</w:t>
      </w:r>
      <w:bookmarkEnd w:id="4"/>
    </w:p>
    <w:p w14:paraId="0DFD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rPr>
          <w:rFonts w:hint="eastAsia" w:ascii="宋体" w:hAnsi="宋体" w:eastAsia="宋体" w:cs="宋体"/>
          <w:sz w:val="24"/>
          <w:szCs w:val="24"/>
        </w:rPr>
      </w:pPr>
    </w:p>
    <w:p w14:paraId="0D8D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宁波振诚矿业绿色矿山景观设计施工总承包项目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招标于20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宁波市北仑区大榭街道滨海东路12号码头东楼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楼会议室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开标，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已按照公开招标文件要求完成评审工作。</w:t>
      </w:r>
    </w:p>
    <w:p w14:paraId="7A22C8C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经评标小组根据招标文件规定的评分标准及权重进行综合评定，本项目推荐的中标单位如下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4320"/>
      </w:tblGrid>
      <w:tr w14:paraId="42D1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40" w:type="dxa"/>
            <w:vAlign w:val="center"/>
          </w:tcPr>
          <w:p w14:paraId="6D389251">
            <w:pPr>
              <w:pStyle w:val="7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320" w:type="dxa"/>
            <w:vAlign w:val="center"/>
          </w:tcPr>
          <w:p w14:paraId="1FE07368">
            <w:pPr>
              <w:pStyle w:val="7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</w:tr>
      <w:tr w14:paraId="6F3B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40" w:type="dxa"/>
            <w:vAlign w:val="center"/>
          </w:tcPr>
          <w:p w14:paraId="70C3B2A3">
            <w:pPr>
              <w:pStyle w:val="7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第一中标候选人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C4DD558">
            <w:pPr>
              <w:widowControl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0"/>
                <w:lang w:val="en-US" w:eastAsia="zh-CN"/>
              </w:rPr>
              <w:t>同信生态环境科技有限公司</w:t>
            </w:r>
          </w:p>
        </w:tc>
      </w:tr>
      <w:tr w14:paraId="4152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40" w:type="dxa"/>
            <w:vAlign w:val="center"/>
          </w:tcPr>
          <w:p w14:paraId="44DD9E58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第二中标候选人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2A6D81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0"/>
                <w:lang w:val="en-US" w:eastAsia="zh-CN"/>
              </w:rPr>
              <w:t>浙江盛振生态建设有限公司/浙江新大工程设计有限公司</w:t>
            </w:r>
          </w:p>
        </w:tc>
      </w:tr>
      <w:tr w14:paraId="5EB5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40" w:type="dxa"/>
            <w:vAlign w:val="center"/>
          </w:tcPr>
          <w:p w14:paraId="743D0BB5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第三中标候选人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735CE0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0"/>
              </w:rPr>
              <w:t>浙江原岩环境建设有限公司/浙江城建规划设计院有限公</w:t>
            </w:r>
          </w:p>
        </w:tc>
      </w:tr>
    </w:tbl>
    <w:p w14:paraId="6260F7F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521A86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公示时间：202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27</w:t>
      </w:r>
      <w:bookmarkStart w:id="5" w:name="_GoBack"/>
      <w:bookmarkEnd w:id="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，如对以上公示结果有异议，请与厦门国贸集团股份有限公司监察室联系（联系电话0592-5898586）。</w:t>
      </w:r>
    </w:p>
    <w:p w14:paraId="22563526">
      <w:pPr>
        <w:pStyle w:val="7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6D7FEBE3">
      <w:pPr>
        <w:pStyle w:val="7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08176384">
      <w:pPr>
        <w:pStyle w:val="7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599F3B16">
      <w:pPr>
        <w:pStyle w:val="7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righ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宁波振诚矿业有限公司</w:t>
      </w:r>
    </w:p>
    <w:p w14:paraId="77E9C6FE">
      <w:pPr>
        <w:pStyle w:val="7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right"/>
        <w:textAlignment w:val="baseline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2024年9月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25日</w:t>
      </w:r>
    </w:p>
    <w:p w14:paraId="1C5F6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09A8060B"/>
    <w:rsid w:val="553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宋体"/>
      <w:color w:val="000000"/>
      <w:sz w:val="22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adjustRightInd w:val="0"/>
      <w:spacing w:line="420" w:lineRule="atLeas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292</Characters>
  <Lines>0</Lines>
  <Paragraphs>0</Paragraphs>
  <TotalTime>15</TotalTime>
  <ScaleCrop>false</ScaleCrop>
  <LinksUpToDate>false</LinksUpToDate>
  <CharactersWithSpaces>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2024-08-26T01:39:00Z</dcterms:created>
  <dc:creator>chenlingjun</dc:creator>
  <cp:lastModifiedBy>我系渣渣星</cp:lastModifiedBy>
  <dcterms:modified xsi:type="dcterms:W3CDTF">2024-09-24T02:06:22Z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28042FC3E3C64A61A1D27505CE5B59D7_12</vt:lpwstr>
  </property>
</Properties>
</file>