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E3DA9">
      <w:pPr>
        <w:spacing w:line="360" w:lineRule="auto"/>
        <w:ind w:left="1338" w:leftChars="218" w:hanging="880" w:hangingChars="200"/>
        <w:jc w:val="center"/>
        <w:rPr>
          <w:rFonts w:ascii="宋体" w:hAnsi="宋体" w:eastAsia="宋体"/>
          <w:bCs/>
          <w:sz w:val="44"/>
          <w:szCs w:val="44"/>
          <w:highlight w:val="none"/>
        </w:rPr>
      </w:pPr>
      <w:r>
        <w:rPr>
          <w:rFonts w:hint="eastAsia" w:ascii="宋体" w:hAnsi="宋体" w:eastAsia="宋体"/>
          <w:bCs/>
          <w:sz w:val="44"/>
          <w:szCs w:val="44"/>
          <w:highlight w:val="none"/>
        </w:rPr>
        <w:t>庐山市西牯岭新材料有限公司</w:t>
      </w:r>
    </w:p>
    <w:p w14:paraId="1514FBE2">
      <w:pPr>
        <w:spacing w:line="360" w:lineRule="auto"/>
        <w:ind w:left="1338" w:leftChars="218" w:hanging="880" w:hangingChars="200"/>
        <w:jc w:val="center"/>
        <w:rPr>
          <w:rFonts w:ascii="宋体" w:hAnsi="宋体" w:eastAsia="宋体"/>
          <w:bCs/>
          <w:sz w:val="44"/>
          <w:szCs w:val="44"/>
          <w:highlight w:val="none"/>
        </w:rPr>
      </w:pPr>
      <w:r>
        <w:rPr>
          <w:rFonts w:hint="eastAsia" w:ascii="宋体" w:hAnsi="宋体" w:eastAsia="宋体"/>
          <w:bCs/>
          <w:sz w:val="44"/>
          <w:szCs w:val="44"/>
          <w:highlight w:val="none"/>
        </w:rPr>
        <w:t>西牯岭矿区裸露边坡藤本治理项目</w:t>
      </w:r>
    </w:p>
    <w:p w14:paraId="6C702167">
      <w:pPr>
        <w:spacing w:line="360" w:lineRule="auto"/>
        <w:ind w:left="1338" w:leftChars="218" w:hanging="880" w:hangingChars="200"/>
        <w:jc w:val="center"/>
        <w:rPr>
          <w:rFonts w:ascii="宋体" w:hAnsi="宋体" w:eastAsia="宋体"/>
          <w:bCs/>
          <w:color w:val="FF0000"/>
          <w:sz w:val="44"/>
          <w:szCs w:val="44"/>
          <w:highlight w:val="none"/>
        </w:rPr>
      </w:pPr>
    </w:p>
    <w:p w14:paraId="0BDD1BE9">
      <w:pPr>
        <w:tabs>
          <w:tab w:val="center" w:pos="4411"/>
        </w:tabs>
        <w:spacing w:line="360" w:lineRule="auto"/>
        <w:jc w:val="left"/>
        <w:rPr>
          <w:rFonts w:ascii="宋体" w:hAnsi="宋体" w:eastAsia="宋体" w:cs="宋体"/>
          <w:b/>
          <w:spacing w:val="32"/>
          <w:w w:val="90"/>
          <w:sz w:val="72"/>
          <w:szCs w:val="72"/>
          <w:highlight w:val="none"/>
        </w:rPr>
      </w:pPr>
    </w:p>
    <w:p w14:paraId="0428FF25">
      <w:pPr>
        <w:tabs>
          <w:tab w:val="left" w:pos="2640"/>
          <w:tab w:val="center" w:pos="4411"/>
        </w:tabs>
        <w:spacing w:line="360" w:lineRule="auto"/>
        <w:jc w:val="center"/>
        <w:rPr>
          <w:rFonts w:ascii="宋体" w:hAnsi="宋体" w:eastAsia="宋体" w:cs="宋体"/>
          <w:b/>
          <w:spacing w:val="32"/>
          <w:w w:val="90"/>
          <w:sz w:val="52"/>
          <w:szCs w:val="52"/>
          <w:highlight w:val="none"/>
        </w:rPr>
      </w:pPr>
      <w:r>
        <w:rPr>
          <w:rFonts w:hint="eastAsia" w:ascii="宋体" w:hAnsi="宋体" w:eastAsia="宋体" w:cs="宋体"/>
          <w:b/>
          <w:spacing w:val="32"/>
          <w:w w:val="90"/>
          <w:sz w:val="52"/>
          <w:szCs w:val="52"/>
          <w:highlight w:val="none"/>
        </w:rPr>
        <w:t>招</w:t>
      </w:r>
    </w:p>
    <w:p w14:paraId="4D501426">
      <w:pPr>
        <w:tabs>
          <w:tab w:val="left" w:pos="2640"/>
          <w:tab w:val="center" w:pos="4411"/>
        </w:tabs>
        <w:spacing w:line="360" w:lineRule="auto"/>
        <w:jc w:val="center"/>
        <w:rPr>
          <w:rFonts w:ascii="宋体" w:hAnsi="宋体" w:eastAsia="宋体" w:cs="宋体"/>
          <w:b/>
          <w:spacing w:val="32"/>
          <w:w w:val="90"/>
          <w:sz w:val="52"/>
          <w:szCs w:val="52"/>
          <w:highlight w:val="none"/>
        </w:rPr>
      </w:pPr>
      <w:r>
        <w:rPr>
          <w:rFonts w:hint="eastAsia" w:ascii="宋体" w:hAnsi="宋体" w:eastAsia="宋体" w:cs="宋体"/>
          <w:b/>
          <w:spacing w:val="32"/>
          <w:w w:val="90"/>
          <w:sz w:val="52"/>
          <w:szCs w:val="52"/>
          <w:highlight w:val="none"/>
        </w:rPr>
        <w:t>标</w:t>
      </w:r>
    </w:p>
    <w:p w14:paraId="5CCD12DA">
      <w:pPr>
        <w:tabs>
          <w:tab w:val="left" w:pos="2640"/>
          <w:tab w:val="center" w:pos="4411"/>
        </w:tabs>
        <w:spacing w:line="360" w:lineRule="auto"/>
        <w:jc w:val="center"/>
        <w:rPr>
          <w:rFonts w:hint="eastAsia" w:ascii="宋体" w:hAnsi="宋体" w:eastAsia="宋体" w:cs="宋体"/>
          <w:b/>
          <w:spacing w:val="32"/>
          <w:w w:val="90"/>
          <w:sz w:val="52"/>
          <w:szCs w:val="52"/>
          <w:highlight w:val="none"/>
          <w:lang w:val="en-US" w:eastAsia="zh-CN"/>
        </w:rPr>
      </w:pPr>
      <w:r>
        <w:rPr>
          <w:rFonts w:hint="eastAsia" w:ascii="宋体" w:hAnsi="宋体" w:eastAsia="宋体" w:cs="宋体"/>
          <w:b/>
          <w:spacing w:val="32"/>
          <w:w w:val="90"/>
          <w:sz w:val="52"/>
          <w:szCs w:val="52"/>
          <w:highlight w:val="none"/>
          <w:lang w:val="en-US" w:eastAsia="zh-CN"/>
        </w:rPr>
        <w:t>公</w:t>
      </w:r>
    </w:p>
    <w:p w14:paraId="2439593E">
      <w:pPr>
        <w:tabs>
          <w:tab w:val="left" w:pos="2640"/>
          <w:tab w:val="center" w:pos="4411"/>
        </w:tabs>
        <w:spacing w:line="360" w:lineRule="auto"/>
        <w:jc w:val="center"/>
        <w:rPr>
          <w:rFonts w:hint="eastAsia" w:ascii="宋体" w:hAnsi="宋体" w:eastAsia="宋体" w:cs="宋体"/>
          <w:b/>
          <w:spacing w:val="32"/>
          <w:w w:val="90"/>
          <w:sz w:val="52"/>
          <w:szCs w:val="52"/>
          <w:highlight w:val="none"/>
          <w:lang w:val="en-US" w:eastAsia="zh-CN"/>
        </w:rPr>
      </w:pPr>
      <w:r>
        <w:rPr>
          <w:rFonts w:hint="eastAsia" w:ascii="宋体" w:hAnsi="宋体" w:eastAsia="宋体" w:cs="宋体"/>
          <w:b/>
          <w:spacing w:val="32"/>
          <w:w w:val="90"/>
          <w:sz w:val="52"/>
          <w:szCs w:val="52"/>
          <w:highlight w:val="none"/>
          <w:lang w:val="en-US" w:eastAsia="zh-CN"/>
        </w:rPr>
        <w:t>告</w:t>
      </w:r>
    </w:p>
    <w:p w14:paraId="044FD582">
      <w:pPr>
        <w:pStyle w:val="15"/>
        <w:rPr>
          <w:rFonts w:ascii="宋体" w:hAnsi="宋体" w:cs="宋体"/>
          <w:highlight w:val="none"/>
        </w:rPr>
      </w:pPr>
    </w:p>
    <w:p w14:paraId="0A127FA8">
      <w:pPr>
        <w:spacing w:line="360" w:lineRule="auto"/>
        <w:rPr>
          <w:rFonts w:ascii="宋体" w:hAnsi="宋体" w:eastAsia="宋体" w:cs="宋体"/>
          <w:b/>
          <w:spacing w:val="32"/>
          <w:w w:val="90"/>
          <w:sz w:val="30"/>
          <w:szCs w:val="30"/>
          <w:highlight w:val="none"/>
        </w:rPr>
      </w:pPr>
    </w:p>
    <w:p w14:paraId="0143E211">
      <w:pPr>
        <w:spacing w:line="360" w:lineRule="auto"/>
        <w:jc w:val="center"/>
        <w:rPr>
          <w:rFonts w:ascii="宋体" w:hAnsi="宋体" w:eastAsia="宋体" w:cs="宋体"/>
          <w:b/>
          <w:spacing w:val="32"/>
          <w:w w:val="90"/>
          <w:sz w:val="30"/>
          <w:szCs w:val="30"/>
          <w:highlight w:val="none"/>
        </w:rPr>
      </w:pPr>
      <w:r>
        <w:rPr>
          <w:rFonts w:hint="eastAsia" w:ascii="宋体" w:hAnsi="宋体" w:eastAsia="宋体" w:cs="宋体"/>
          <w:sz w:val="30"/>
          <w:szCs w:val="30"/>
          <w:highlight w:val="none"/>
        </w:rPr>
        <w:t>招标编号:</w:t>
      </w:r>
      <w:r>
        <w:rPr>
          <w:highlight w:val="none"/>
        </w:rPr>
        <w:t xml:space="preserve"> </w:t>
      </w:r>
      <w:r>
        <w:rPr>
          <w:rFonts w:ascii="宋体" w:hAnsi="宋体" w:eastAsia="宋体" w:cs="宋体"/>
          <w:sz w:val="30"/>
          <w:szCs w:val="30"/>
          <w:highlight w:val="none"/>
        </w:rPr>
        <w:t>XGLGC10-202409-04-STXF01</w:t>
      </w:r>
    </w:p>
    <w:p w14:paraId="0619800F">
      <w:pPr>
        <w:snapToGrid w:val="0"/>
        <w:spacing w:line="360" w:lineRule="auto"/>
        <w:jc w:val="center"/>
        <w:rPr>
          <w:rFonts w:ascii="宋体" w:hAnsi="宋体" w:eastAsia="宋体" w:cs="宋体"/>
          <w:b/>
          <w:spacing w:val="32"/>
          <w:w w:val="90"/>
          <w:sz w:val="48"/>
          <w:szCs w:val="48"/>
          <w:highlight w:val="none"/>
        </w:rPr>
      </w:pPr>
    </w:p>
    <w:p w14:paraId="130BD2F5">
      <w:pPr>
        <w:spacing w:line="360" w:lineRule="auto"/>
        <w:ind w:firstLine="180"/>
        <w:jc w:val="center"/>
        <w:rPr>
          <w:rFonts w:ascii="宋体" w:hAnsi="宋体" w:eastAsia="宋体" w:cs="宋体"/>
          <w:w w:val="90"/>
          <w:sz w:val="10"/>
          <w:szCs w:val="10"/>
          <w:highlight w:val="none"/>
        </w:rPr>
      </w:pPr>
    </w:p>
    <w:p w14:paraId="053E7298">
      <w:pPr>
        <w:spacing w:line="360" w:lineRule="auto"/>
        <w:ind w:firstLine="180"/>
        <w:jc w:val="center"/>
        <w:rPr>
          <w:rFonts w:ascii="宋体" w:hAnsi="宋体" w:eastAsia="宋体" w:cs="宋体"/>
          <w:w w:val="90"/>
          <w:sz w:val="10"/>
          <w:szCs w:val="10"/>
          <w:highlight w:val="none"/>
        </w:rPr>
      </w:pPr>
    </w:p>
    <w:p w14:paraId="3E60B4AF">
      <w:pPr>
        <w:spacing w:line="360" w:lineRule="auto"/>
        <w:jc w:val="center"/>
        <w:rPr>
          <w:rFonts w:ascii="宋体" w:hAnsi="宋体" w:eastAsia="宋体" w:cs="宋体"/>
          <w:w w:val="90"/>
          <w:sz w:val="36"/>
          <w:szCs w:val="36"/>
          <w:highlight w:val="none"/>
        </w:rPr>
      </w:pPr>
      <w:r>
        <w:rPr>
          <w:rFonts w:hint="eastAsia" w:ascii="宋体" w:hAnsi="宋体" w:eastAsia="宋体" w:cs="宋体"/>
          <w:w w:val="90"/>
          <w:sz w:val="36"/>
          <w:szCs w:val="36"/>
          <w:highlight w:val="none"/>
        </w:rPr>
        <w:t>招标人：庐山市西牯岭新材料有限公司</w:t>
      </w:r>
    </w:p>
    <w:p w14:paraId="6E7501A7">
      <w:pPr>
        <w:spacing w:line="360" w:lineRule="auto"/>
        <w:jc w:val="center"/>
        <w:rPr>
          <w:rFonts w:ascii="宋体" w:hAnsi="宋体" w:eastAsia="宋体" w:cs="宋体"/>
          <w:w w:val="90"/>
          <w:sz w:val="36"/>
          <w:szCs w:val="36"/>
          <w:highlight w:val="none"/>
        </w:rPr>
      </w:pPr>
      <w:r>
        <w:rPr>
          <w:rFonts w:hint="eastAsia" w:ascii="宋体" w:hAnsi="宋体" w:eastAsia="宋体" w:cs="宋体"/>
          <w:w w:val="90"/>
          <w:sz w:val="36"/>
          <w:szCs w:val="36"/>
          <w:highlight w:val="none"/>
        </w:rPr>
        <w:t>招标代理机构：中通服供应链股份有限公司</w:t>
      </w:r>
    </w:p>
    <w:p w14:paraId="13C9718F">
      <w:pPr>
        <w:spacing w:line="360" w:lineRule="auto"/>
        <w:jc w:val="center"/>
        <w:rPr>
          <w:rFonts w:ascii="宋体" w:hAnsi="宋体" w:eastAsia="宋体" w:cs="宋体"/>
          <w:sz w:val="32"/>
          <w:szCs w:val="32"/>
          <w:highlight w:val="none"/>
        </w:rPr>
      </w:pPr>
    </w:p>
    <w:p w14:paraId="7DE3DC8C">
      <w:pPr>
        <w:spacing w:line="360" w:lineRule="auto"/>
        <w:ind w:firstLine="3200" w:firstLineChars="1000"/>
        <w:rPr>
          <w:rFonts w:hint="eastAsia" w:ascii="宋体" w:hAnsi="宋体" w:eastAsia="宋体" w:cs="宋体"/>
          <w:sz w:val="32"/>
          <w:szCs w:val="32"/>
          <w:highlight w:val="none"/>
        </w:rPr>
      </w:pPr>
      <w:r>
        <w:rPr>
          <w:rFonts w:hint="eastAsia" w:ascii="宋体" w:hAnsi="宋体" w:eastAsia="宋体" w:cs="宋体"/>
          <w:sz w:val="32"/>
          <w:szCs w:val="32"/>
          <w:highlight w:val="none"/>
        </w:rPr>
        <w:t>二0二四年九月</w:t>
      </w:r>
      <w:bookmarkStart w:id="0" w:name="_Toc30434"/>
    </w:p>
    <w:p w14:paraId="15FE1E45">
      <w:pPr>
        <w:spacing w:line="360" w:lineRule="auto"/>
        <w:ind w:firstLine="3200" w:firstLineChars="1000"/>
        <w:rPr>
          <w:rFonts w:hint="eastAsia" w:ascii="宋体" w:hAnsi="宋体" w:eastAsia="宋体" w:cs="宋体"/>
          <w:sz w:val="32"/>
          <w:szCs w:val="32"/>
          <w:highlight w:val="none"/>
        </w:rPr>
      </w:pPr>
    </w:p>
    <w:p w14:paraId="12C2E883">
      <w:pPr>
        <w:pStyle w:val="2"/>
        <w:numPr>
          <w:ilvl w:val="0"/>
          <w:numId w:val="0"/>
        </w:numPr>
        <w:spacing w:before="0" w:after="0"/>
        <w:ind w:left="210" w:leftChars="100" w:firstLine="3213" w:firstLineChars="1000"/>
        <w:rPr>
          <w:rFonts w:ascii="宋体" w:hAnsi="宋体" w:cs="宋体"/>
          <w:szCs w:val="32"/>
          <w:highlight w:val="none"/>
        </w:rPr>
      </w:pPr>
      <w:r>
        <w:rPr>
          <w:rFonts w:hint="eastAsia" w:ascii="宋体" w:hAnsi="宋体" w:cs="宋体"/>
          <w:szCs w:val="32"/>
          <w:highlight w:val="none"/>
        </w:rPr>
        <w:t>第一章  招标公告</w:t>
      </w:r>
      <w:bookmarkEnd w:id="0"/>
    </w:p>
    <w:p w14:paraId="318CDBCB">
      <w:pPr>
        <w:spacing w:line="360" w:lineRule="auto"/>
        <w:ind w:firstLine="560" w:firstLineChars="200"/>
        <w:jc w:val="center"/>
        <w:rPr>
          <w:rFonts w:ascii="宋体" w:hAnsi="宋体" w:eastAsia="宋体" w:cs="宋体"/>
          <w:color w:val="0000FF"/>
          <w:kern w:val="0"/>
          <w:sz w:val="24"/>
          <w:highlight w:val="none"/>
        </w:rPr>
      </w:pPr>
      <w:r>
        <w:rPr>
          <w:rFonts w:hint="eastAsia" w:ascii="宋体" w:hAnsi="宋体" w:eastAsia="宋体" w:cs="宋体"/>
          <w:color w:val="000000"/>
          <w:kern w:val="0"/>
          <w:sz w:val="28"/>
          <w:szCs w:val="24"/>
          <w:highlight w:val="none"/>
        </w:rPr>
        <w:t>招标编号:</w:t>
      </w:r>
      <w:r>
        <w:rPr>
          <w:highlight w:val="none"/>
        </w:rPr>
        <w:t xml:space="preserve"> </w:t>
      </w:r>
      <w:r>
        <w:rPr>
          <w:rFonts w:ascii="宋体" w:hAnsi="宋体" w:eastAsia="宋体" w:cs="宋体"/>
          <w:color w:val="000000"/>
          <w:kern w:val="0"/>
          <w:sz w:val="28"/>
          <w:szCs w:val="24"/>
          <w:highlight w:val="none"/>
        </w:rPr>
        <w:t>XGLGC10-202409-04-STXF01</w:t>
      </w:r>
    </w:p>
    <w:p w14:paraId="017D6850">
      <w:pPr>
        <w:pStyle w:val="4"/>
        <w:numPr>
          <w:ilvl w:val="0"/>
          <w:numId w:val="1"/>
        </w:numPr>
        <w:tabs>
          <w:tab w:val="left" w:pos="425"/>
        </w:tabs>
        <w:spacing w:before="0" w:after="0"/>
        <w:ind w:left="0" w:leftChars="0" w:firstLine="420" w:firstLineChars="0"/>
        <w:rPr>
          <w:rFonts w:ascii="宋体" w:hAnsi="宋体" w:cs="宋体"/>
          <w:i w:val="0"/>
          <w:sz w:val="24"/>
          <w:szCs w:val="24"/>
          <w:highlight w:val="none"/>
        </w:rPr>
      </w:pPr>
      <w:bookmarkStart w:id="1" w:name="_Toc241901980"/>
      <w:bookmarkStart w:id="2" w:name="_Toc241902809"/>
      <w:bookmarkStart w:id="3" w:name="_Toc29248"/>
      <w:r>
        <w:rPr>
          <w:rFonts w:hint="eastAsia" w:ascii="宋体" w:hAnsi="宋体" w:cs="宋体"/>
          <w:i w:val="0"/>
          <w:sz w:val="24"/>
          <w:szCs w:val="24"/>
          <w:highlight w:val="none"/>
        </w:rPr>
        <w:t>招标条件</w:t>
      </w:r>
      <w:bookmarkEnd w:id="1"/>
      <w:bookmarkEnd w:id="2"/>
      <w:bookmarkEnd w:id="3"/>
    </w:p>
    <w:p w14:paraId="2E41EC4F">
      <w:pPr>
        <w:spacing w:line="360" w:lineRule="auto"/>
        <w:ind w:left="1" w:firstLine="456" w:firstLineChars="190"/>
        <w:jc w:val="left"/>
        <w:rPr>
          <w:rFonts w:ascii="宋体" w:hAnsi="宋体" w:eastAsia="宋体" w:cs="宋体"/>
          <w:sz w:val="24"/>
          <w:szCs w:val="24"/>
          <w:highlight w:val="none"/>
        </w:rPr>
      </w:pPr>
      <w:r>
        <w:rPr>
          <w:rFonts w:hint="eastAsia" w:ascii="宋体" w:hAnsi="宋体" w:eastAsia="宋体" w:cs="宋体"/>
          <w:sz w:val="24"/>
          <w:szCs w:val="24"/>
          <w:highlight w:val="none"/>
        </w:rPr>
        <w:t>庐山市西牯岭新材料有限公司西牯岭矿区裸露边坡藤本治理项目（下称“本项目”）已列入公司年度预算，本项目已经集团公司批准，项目业主为庐山市西牯岭新材料有限公司（下称“招标人”），资金自筹。本项目已具备招标条件，招标人现对本项目进行公开招标，实行资格后审。</w:t>
      </w:r>
    </w:p>
    <w:p w14:paraId="73F2903A">
      <w:pPr>
        <w:pStyle w:val="4"/>
        <w:numPr>
          <w:ilvl w:val="0"/>
          <w:numId w:val="1"/>
        </w:numPr>
        <w:tabs>
          <w:tab w:val="left" w:pos="425"/>
        </w:tabs>
        <w:spacing w:before="0" w:after="0"/>
        <w:ind w:left="0" w:leftChars="0" w:firstLine="420" w:firstLineChars="0"/>
        <w:rPr>
          <w:rFonts w:ascii="宋体" w:hAnsi="宋体" w:cs="宋体"/>
          <w:i w:val="0"/>
          <w:sz w:val="24"/>
          <w:szCs w:val="24"/>
          <w:highlight w:val="none"/>
        </w:rPr>
      </w:pPr>
      <w:bookmarkStart w:id="4" w:name="_Toc30721"/>
      <w:bookmarkStart w:id="5" w:name="_Toc241902810"/>
      <w:bookmarkStart w:id="6" w:name="_Toc241901981"/>
      <w:r>
        <w:rPr>
          <w:rFonts w:hint="eastAsia" w:ascii="宋体" w:hAnsi="宋体" w:cs="宋体"/>
          <w:i w:val="0"/>
          <w:sz w:val="24"/>
          <w:szCs w:val="24"/>
          <w:highlight w:val="none"/>
        </w:rPr>
        <w:t>项目概况、招标范围</w:t>
      </w:r>
      <w:bookmarkEnd w:id="4"/>
      <w:bookmarkEnd w:id="5"/>
      <w:bookmarkEnd w:id="6"/>
    </w:p>
    <w:p w14:paraId="65D174C0">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1、项目概况</w:t>
      </w:r>
    </w:p>
    <w:p w14:paraId="5673493B">
      <w:pPr>
        <w:spacing w:line="360" w:lineRule="auto"/>
        <w:ind w:firstLine="424" w:firstLineChars="177"/>
        <w:rPr>
          <w:rFonts w:ascii="宋体" w:hAnsi="宋体" w:eastAsia="宋体" w:cs="宋体"/>
          <w:sz w:val="24"/>
          <w:highlight w:val="none"/>
        </w:rPr>
      </w:pPr>
      <w:r>
        <w:rPr>
          <w:rFonts w:hint="eastAsia" w:ascii="宋体" w:hAnsi="宋体" w:eastAsia="宋体" w:cs="宋体"/>
          <w:sz w:val="24"/>
          <w:szCs w:val="24"/>
          <w:highlight w:val="none"/>
        </w:rPr>
        <w:t>庐山市西牯岭新材料有限公司</w:t>
      </w:r>
      <w:r>
        <w:rPr>
          <w:rFonts w:hint="eastAsia" w:ascii="宋体" w:hAnsi="宋体" w:eastAsia="宋体" w:cs="宋体"/>
          <w:sz w:val="24"/>
          <w:highlight w:val="none"/>
        </w:rPr>
        <w:t>成立于 2020 年12 月 4 日，是江西省内集开采、生产、水路运输、销售于一体的特大型综合性饰面花岗岩石材面板和机制砂石骨料企业，开采年限22年。矿区面积88万平方米，已揭露面积55万平方米，藤本治理区域为荒料开采区运输道路土石质边坡及+210、+225m、+240m高陡岩质边坡。</w:t>
      </w:r>
    </w:p>
    <w:p w14:paraId="0AFE6A2C">
      <w:pPr>
        <w:spacing w:line="360" w:lineRule="auto"/>
        <w:ind w:firstLine="424" w:firstLineChars="177"/>
        <w:rPr>
          <w:rFonts w:ascii="宋体" w:hAnsi="宋体" w:eastAsia="宋体" w:cs="宋体"/>
          <w:sz w:val="24"/>
          <w:highlight w:val="none"/>
        </w:rPr>
      </w:pPr>
      <w:r>
        <w:rPr>
          <w:rFonts w:hint="eastAsia" w:ascii="宋体" w:hAnsi="宋体" w:eastAsia="宋体" w:cs="宋体"/>
          <w:sz w:val="24"/>
          <w:highlight w:val="none"/>
        </w:rPr>
        <w:t>1.1、项目位置：本项目位于江西省九江市庐山市温泉镇钱湖村。</w:t>
      </w:r>
    </w:p>
    <w:p w14:paraId="53EF0D7E">
      <w:pPr>
        <w:spacing w:line="360" w:lineRule="auto"/>
        <w:ind w:firstLine="424" w:firstLineChars="177"/>
        <w:rPr>
          <w:rFonts w:ascii="宋体" w:hAnsi="宋体" w:eastAsia="宋体" w:cs="宋体"/>
          <w:sz w:val="24"/>
          <w:highlight w:val="none"/>
        </w:rPr>
      </w:pPr>
      <w:r>
        <w:rPr>
          <w:rFonts w:hint="eastAsia" w:ascii="宋体" w:hAnsi="宋体" w:eastAsia="宋体" w:cs="宋体"/>
          <w:sz w:val="24"/>
          <w:highlight w:val="none"/>
        </w:rPr>
        <w:t>1.2、交通条件：矿区有矿山运输公路5km至庐山市山南公路与105国道相连。距庐山市城区5km，距九江市40km，距京九铁路德安站34km，交通便利。</w:t>
      </w:r>
    </w:p>
    <w:p w14:paraId="481F4B08">
      <w:pPr>
        <w:spacing w:line="360" w:lineRule="auto"/>
        <w:ind w:firstLine="424" w:firstLineChars="177"/>
        <w:jc w:val="left"/>
        <w:rPr>
          <w:rFonts w:ascii="宋体" w:hAnsi="宋体" w:eastAsia="宋体" w:cs="宋体"/>
          <w:sz w:val="24"/>
          <w:szCs w:val="24"/>
          <w:highlight w:val="none"/>
        </w:rPr>
      </w:pPr>
      <w:r>
        <w:rPr>
          <w:rFonts w:hint="eastAsia" w:ascii="宋体" w:hAnsi="宋体" w:eastAsia="宋体" w:cs="宋体"/>
          <w:kern w:val="0"/>
          <w:sz w:val="24"/>
          <w:highlight w:val="none"/>
        </w:rPr>
        <w:t>1</w:t>
      </w:r>
      <w:r>
        <w:rPr>
          <w:rFonts w:ascii="宋体" w:hAnsi="宋体" w:eastAsia="宋体" w:cs="宋体"/>
          <w:kern w:val="0"/>
          <w:sz w:val="24"/>
          <w:highlight w:val="none"/>
        </w:rPr>
        <w:t>.3</w:t>
      </w:r>
      <w:r>
        <w:rPr>
          <w:rFonts w:hint="eastAsia" w:ascii="宋体" w:hAnsi="宋体" w:eastAsia="宋体" w:cs="宋体"/>
          <w:kern w:val="0"/>
          <w:sz w:val="24"/>
          <w:highlight w:val="none"/>
        </w:rPr>
        <w:t>招标范围：</w:t>
      </w:r>
      <w:r>
        <w:rPr>
          <w:rFonts w:hint="eastAsia" w:ascii="宋体" w:hAnsi="宋体" w:eastAsia="宋体" w:cs="宋体"/>
          <w:sz w:val="24"/>
          <w:szCs w:val="24"/>
          <w:highlight w:val="none"/>
        </w:rPr>
        <w:t>西牯岭矿区裸露边坡藤本治理。工程量如下：</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938"/>
        <w:gridCol w:w="4452"/>
        <w:gridCol w:w="745"/>
        <w:gridCol w:w="544"/>
      </w:tblGrid>
      <w:tr w14:paraId="77CFF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000" w:type="pct"/>
            <w:gridSpan w:val="5"/>
            <w:shd w:val="clear" w:color="auto" w:fill="auto"/>
            <w:noWrap/>
            <w:vAlign w:val="center"/>
          </w:tcPr>
          <w:p w14:paraId="0B1E977C">
            <w:pPr>
              <w:widowControl/>
              <w:jc w:val="center"/>
              <w:textAlignment w:val="center"/>
              <w:rPr>
                <w:rFonts w:ascii="宋体" w:hAnsi="宋体" w:eastAsia="宋体" w:cs="宋体"/>
                <w:color w:val="000000"/>
                <w:sz w:val="28"/>
                <w:szCs w:val="28"/>
                <w:highlight w:val="none"/>
              </w:rPr>
            </w:pPr>
            <w:r>
              <w:rPr>
                <w:rFonts w:hint="eastAsia" w:ascii="宋体" w:hAnsi="宋体" w:eastAsia="宋体" w:cs="宋体"/>
                <w:color w:val="000000"/>
                <w:kern w:val="0"/>
                <w:sz w:val="28"/>
                <w:szCs w:val="28"/>
                <w:highlight w:val="none"/>
                <w:lang w:bidi="ar"/>
              </w:rPr>
              <w:t>工程量清单表</w:t>
            </w:r>
          </w:p>
        </w:tc>
      </w:tr>
      <w:tr w14:paraId="6933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94" w:type="pct"/>
            <w:shd w:val="clear" w:color="auto" w:fill="auto"/>
            <w:noWrap/>
            <w:vAlign w:val="center"/>
          </w:tcPr>
          <w:p w14:paraId="5AAF54B8">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序号</w:t>
            </w:r>
          </w:p>
        </w:tc>
        <w:tc>
          <w:tcPr>
            <w:tcW w:w="1136" w:type="pct"/>
            <w:shd w:val="clear" w:color="auto" w:fill="auto"/>
            <w:noWrap/>
            <w:vAlign w:val="center"/>
          </w:tcPr>
          <w:p w14:paraId="40A7616D">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工程名称</w:t>
            </w:r>
          </w:p>
        </w:tc>
        <w:tc>
          <w:tcPr>
            <w:tcW w:w="2611" w:type="pct"/>
            <w:shd w:val="clear" w:color="auto" w:fill="auto"/>
            <w:vAlign w:val="center"/>
          </w:tcPr>
          <w:p w14:paraId="75C06E37">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项目特征</w:t>
            </w:r>
          </w:p>
        </w:tc>
        <w:tc>
          <w:tcPr>
            <w:tcW w:w="437" w:type="pct"/>
            <w:shd w:val="clear" w:color="auto" w:fill="auto"/>
            <w:noWrap/>
            <w:vAlign w:val="center"/>
          </w:tcPr>
          <w:p w14:paraId="58133053">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计量单位</w:t>
            </w:r>
          </w:p>
        </w:tc>
        <w:tc>
          <w:tcPr>
            <w:tcW w:w="319" w:type="pct"/>
            <w:shd w:val="clear" w:color="auto" w:fill="auto"/>
            <w:vAlign w:val="center"/>
          </w:tcPr>
          <w:p w14:paraId="27E87596">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数量</w:t>
            </w:r>
          </w:p>
        </w:tc>
      </w:tr>
      <w:tr w14:paraId="60D4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94" w:type="pct"/>
            <w:shd w:val="clear" w:color="auto" w:fill="auto"/>
            <w:noWrap/>
            <w:vAlign w:val="center"/>
          </w:tcPr>
          <w:p w14:paraId="184B5DFA">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（一）</w:t>
            </w:r>
          </w:p>
        </w:tc>
        <w:tc>
          <w:tcPr>
            <w:tcW w:w="1136" w:type="pct"/>
            <w:shd w:val="clear" w:color="auto" w:fill="auto"/>
            <w:noWrap/>
            <w:vAlign w:val="bottom"/>
          </w:tcPr>
          <w:p w14:paraId="6D53E2B2">
            <w:pPr>
              <w:widowControl/>
              <w:jc w:val="center"/>
              <w:textAlignment w:val="bottom"/>
              <w:rPr>
                <w:rFonts w:ascii="宋体" w:hAnsi="宋体" w:eastAsia="宋体" w:cs="宋体"/>
                <w:color w:val="000000"/>
                <w:sz w:val="22"/>
                <w:highlight w:val="none"/>
              </w:rPr>
            </w:pPr>
            <w:r>
              <w:rPr>
                <w:rFonts w:hint="eastAsia" w:ascii="宋体" w:hAnsi="宋体" w:eastAsia="宋体" w:cs="宋体"/>
                <w:color w:val="000000"/>
                <w:kern w:val="0"/>
                <w:sz w:val="22"/>
                <w:highlight w:val="none"/>
                <w:lang w:bidi="ar"/>
              </w:rPr>
              <w:t>高陡岩质边坡藤本治理</w:t>
            </w:r>
          </w:p>
        </w:tc>
        <w:tc>
          <w:tcPr>
            <w:tcW w:w="2611" w:type="pct"/>
            <w:shd w:val="clear" w:color="auto" w:fill="auto"/>
            <w:noWrap/>
            <w:vAlign w:val="center"/>
          </w:tcPr>
          <w:p w14:paraId="5CE961F4">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210m平台长680m、225m平台长305m、240m平台长350m，合计1335m。</w:t>
            </w:r>
          </w:p>
        </w:tc>
        <w:tc>
          <w:tcPr>
            <w:tcW w:w="437" w:type="pct"/>
            <w:shd w:val="clear" w:color="auto" w:fill="auto"/>
            <w:noWrap/>
            <w:vAlign w:val="center"/>
          </w:tcPr>
          <w:p w14:paraId="4104145E">
            <w:pPr>
              <w:rPr>
                <w:rFonts w:ascii="宋体" w:hAnsi="宋体" w:eastAsia="宋体" w:cs="宋体"/>
                <w:color w:val="000000"/>
                <w:sz w:val="24"/>
                <w:szCs w:val="24"/>
                <w:highlight w:val="none"/>
              </w:rPr>
            </w:pPr>
          </w:p>
        </w:tc>
        <w:tc>
          <w:tcPr>
            <w:tcW w:w="319" w:type="pct"/>
            <w:shd w:val="clear" w:color="auto" w:fill="auto"/>
            <w:noWrap/>
            <w:vAlign w:val="center"/>
          </w:tcPr>
          <w:p w14:paraId="54E53B54">
            <w:pPr>
              <w:rPr>
                <w:rFonts w:ascii="宋体" w:hAnsi="宋体" w:eastAsia="宋体" w:cs="宋体"/>
                <w:color w:val="000000"/>
                <w:sz w:val="24"/>
                <w:szCs w:val="24"/>
                <w:highlight w:val="none"/>
              </w:rPr>
            </w:pPr>
          </w:p>
        </w:tc>
      </w:tr>
      <w:tr w14:paraId="4B65E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494" w:type="pct"/>
            <w:shd w:val="clear" w:color="auto" w:fill="auto"/>
            <w:noWrap/>
            <w:vAlign w:val="center"/>
          </w:tcPr>
          <w:p w14:paraId="158BD202">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1136" w:type="pct"/>
            <w:shd w:val="clear" w:color="auto" w:fill="auto"/>
            <w:noWrap/>
            <w:vAlign w:val="center"/>
          </w:tcPr>
          <w:p w14:paraId="22B7B5BE">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清坡挂网</w:t>
            </w:r>
          </w:p>
        </w:tc>
        <w:tc>
          <w:tcPr>
            <w:tcW w:w="2611" w:type="pct"/>
            <w:shd w:val="clear" w:color="auto" w:fill="auto"/>
            <w:vAlign w:val="center"/>
          </w:tcPr>
          <w:p w14:paraId="23CEC778">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工作量计算：按平均2.5m计，面积3337m</w:t>
            </w:r>
            <w:r>
              <w:rPr>
                <w:rFonts w:hint="eastAsia" w:ascii="宋体" w:hAnsi="宋体" w:eastAsia="宋体" w:cs="宋体"/>
                <w:color w:val="000000"/>
                <w:kern w:val="0"/>
                <w:sz w:val="24"/>
                <w:szCs w:val="24"/>
                <w:highlight w:val="none"/>
                <w:vertAlign w:val="superscript"/>
                <w:lang w:bidi="ar"/>
              </w:rPr>
              <w:t>2</w:t>
            </w:r>
            <w:r>
              <w:rPr>
                <w:rFonts w:hint="eastAsia" w:ascii="宋体" w:hAnsi="宋体" w:eastAsia="宋体" w:cs="宋体"/>
                <w:color w:val="000000"/>
                <w:kern w:val="0"/>
                <w:sz w:val="24"/>
                <w:szCs w:val="24"/>
                <w:highlight w:val="none"/>
                <w:lang w:bidi="ar"/>
              </w:rPr>
              <w:t>。工作内容及规格：1、坡面不稳定石体及杂物人工清除；2、热镀锌勾花网铺设。材料规格为热镀勾花网，1.6丝径，网孔6*6cm。</w:t>
            </w:r>
          </w:p>
        </w:tc>
        <w:tc>
          <w:tcPr>
            <w:tcW w:w="437" w:type="pct"/>
            <w:shd w:val="clear" w:color="auto" w:fill="auto"/>
            <w:noWrap/>
            <w:vAlign w:val="center"/>
          </w:tcPr>
          <w:p w14:paraId="541C4D33">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m2</w:t>
            </w:r>
          </w:p>
        </w:tc>
        <w:tc>
          <w:tcPr>
            <w:tcW w:w="319" w:type="pct"/>
            <w:shd w:val="clear" w:color="auto" w:fill="auto"/>
            <w:vAlign w:val="center"/>
          </w:tcPr>
          <w:p w14:paraId="748D1D8A">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3337</w:t>
            </w:r>
          </w:p>
        </w:tc>
      </w:tr>
      <w:tr w14:paraId="42CE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94" w:type="pct"/>
            <w:shd w:val="clear" w:color="auto" w:fill="auto"/>
            <w:noWrap/>
            <w:vAlign w:val="center"/>
          </w:tcPr>
          <w:p w14:paraId="1C0BA561">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136" w:type="pct"/>
            <w:shd w:val="clear" w:color="auto" w:fill="auto"/>
            <w:noWrap/>
            <w:vAlign w:val="center"/>
          </w:tcPr>
          <w:p w14:paraId="4E5D8ADE">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膨胀螺栓</w:t>
            </w:r>
          </w:p>
        </w:tc>
        <w:tc>
          <w:tcPr>
            <w:tcW w:w="2611" w:type="pct"/>
            <w:shd w:val="clear" w:color="auto" w:fill="auto"/>
            <w:vAlign w:val="center"/>
          </w:tcPr>
          <w:p w14:paraId="7A7F30D1">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工作量计算：按2.0*3.0米网度布置膨胀螺栓固定勾花网，数量为1050个。工作内容：1、工作内容包括钻孔（钻孔直径10cm,岩性为花岗岩）、2、膨胀螺栓固定；材料规格：膨胀螺栓规格直径为10mm，长度150mm；垫片规格为直径50mm。</w:t>
            </w:r>
          </w:p>
        </w:tc>
        <w:tc>
          <w:tcPr>
            <w:tcW w:w="437" w:type="pct"/>
            <w:shd w:val="clear" w:color="auto" w:fill="auto"/>
            <w:noWrap/>
            <w:vAlign w:val="center"/>
          </w:tcPr>
          <w:p w14:paraId="1BB5C60B">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套</w:t>
            </w:r>
          </w:p>
        </w:tc>
        <w:tc>
          <w:tcPr>
            <w:tcW w:w="319" w:type="pct"/>
            <w:shd w:val="clear" w:color="auto" w:fill="auto"/>
            <w:vAlign w:val="center"/>
          </w:tcPr>
          <w:p w14:paraId="12B3E8CE">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 xml:space="preserve">1050 </w:t>
            </w:r>
          </w:p>
        </w:tc>
      </w:tr>
      <w:tr w14:paraId="01AD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494" w:type="pct"/>
            <w:shd w:val="clear" w:color="auto" w:fill="auto"/>
            <w:noWrap/>
            <w:vAlign w:val="center"/>
          </w:tcPr>
          <w:p w14:paraId="40FC3E7C">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3</w:t>
            </w:r>
          </w:p>
        </w:tc>
        <w:tc>
          <w:tcPr>
            <w:tcW w:w="1136" w:type="pct"/>
            <w:shd w:val="clear" w:color="auto" w:fill="auto"/>
            <w:noWrap/>
            <w:vAlign w:val="center"/>
          </w:tcPr>
          <w:p w14:paraId="2A746DF3">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种植槽施工</w:t>
            </w:r>
          </w:p>
        </w:tc>
        <w:tc>
          <w:tcPr>
            <w:tcW w:w="2611" w:type="pct"/>
            <w:shd w:val="clear" w:color="auto" w:fill="auto"/>
            <w:vAlign w:val="center"/>
          </w:tcPr>
          <w:p w14:paraId="39BDAB38">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工作量计算：210m平台长680m、225m平台长305m、240m平台长350m，合计1335m。工作内容及规格：1、构建种植槽（根据不同工况在坡底内侧采用无纺布袋、种植箱、人工开挖等）；2、种植槽高0.5m，为24水泥砖墙，外侧砂浆抹面。材料规格：水泥砖+C15砂浆。</w:t>
            </w:r>
          </w:p>
        </w:tc>
        <w:tc>
          <w:tcPr>
            <w:tcW w:w="437" w:type="pct"/>
            <w:shd w:val="clear" w:color="auto" w:fill="auto"/>
            <w:noWrap/>
            <w:vAlign w:val="center"/>
          </w:tcPr>
          <w:p w14:paraId="2A7F8F18">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m</w:t>
            </w:r>
          </w:p>
        </w:tc>
        <w:tc>
          <w:tcPr>
            <w:tcW w:w="319" w:type="pct"/>
            <w:shd w:val="clear" w:color="auto" w:fill="auto"/>
            <w:vAlign w:val="center"/>
          </w:tcPr>
          <w:p w14:paraId="57FD98D3">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1335</w:t>
            </w:r>
          </w:p>
        </w:tc>
      </w:tr>
      <w:tr w14:paraId="5111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494" w:type="pct"/>
            <w:shd w:val="clear" w:color="auto" w:fill="auto"/>
            <w:noWrap/>
            <w:vAlign w:val="center"/>
          </w:tcPr>
          <w:p w14:paraId="12B1E639">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4</w:t>
            </w:r>
          </w:p>
        </w:tc>
        <w:tc>
          <w:tcPr>
            <w:tcW w:w="1136" w:type="pct"/>
            <w:shd w:val="clear" w:color="auto" w:fill="auto"/>
            <w:noWrap/>
            <w:vAlign w:val="center"/>
          </w:tcPr>
          <w:p w14:paraId="5E49E162">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爬藤</w:t>
            </w:r>
          </w:p>
        </w:tc>
        <w:tc>
          <w:tcPr>
            <w:tcW w:w="2611" w:type="pct"/>
            <w:shd w:val="clear" w:color="auto" w:fill="auto"/>
            <w:vAlign w:val="center"/>
          </w:tcPr>
          <w:p w14:paraId="74631FE3">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工作量计算：平台长度1335m，按5株/m计算，藤本数量为6675m。多品类混栽（油麻藤2670株，金银花1335株，凌霄1335株，爬山虎1335株）。工作内容及规格：1、回填客土和微生物基质肥；2、藤本采购；3、藤本种植。材料规格：年生长量5m以上；2年以上容器苗，苗壮、根粗。</w:t>
            </w:r>
          </w:p>
        </w:tc>
        <w:tc>
          <w:tcPr>
            <w:tcW w:w="437" w:type="pct"/>
            <w:shd w:val="clear" w:color="auto" w:fill="auto"/>
            <w:noWrap/>
            <w:vAlign w:val="center"/>
          </w:tcPr>
          <w:p w14:paraId="3A15B22B">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株</w:t>
            </w:r>
          </w:p>
        </w:tc>
        <w:tc>
          <w:tcPr>
            <w:tcW w:w="319" w:type="pct"/>
            <w:shd w:val="clear" w:color="auto" w:fill="auto"/>
            <w:vAlign w:val="center"/>
          </w:tcPr>
          <w:p w14:paraId="2D609628">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6675</w:t>
            </w:r>
          </w:p>
        </w:tc>
      </w:tr>
      <w:tr w14:paraId="5F43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494" w:type="pct"/>
            <w:shd w:val="clear" w:color="auto" w:fill="auto"/>
            <w:noWrap/>
            <w:vAlign w:val="center"/>
          </w:tcPr>
          <w:p w14:paraId="57D324C7">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5</w:t>
            </w:r>
          </w:p>
        </w:tc>
        <w:tc>
          <w:tcPr>
            <w:tcW w:w="1136" w:type="pct"/>
            <w:shd w:val="clear" w:color="auto" w:fill="auto"/>
            <w:noWrap/>
            <w:vAlign w:val="center"/>
          </w:tcPr>
          <w:p w14:paraId="63B22252">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微生物基质肥</w:t>
            </w:r>
          </w:p>
        </w:tc>
        <w:tc>
          <w:tcPr>
            <w:tcW w:w="2611" w:type="pct"/>
            <w:shd w:val="clear" w:color="auto" w:fill="auto"/>
            <w:vAlign w:val="center"/>
          </w:tcPr>
          <w:p w14:paraId="47E20C04">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工作量计算：平台长度1335m,种植槽规格0.5m*0.5m，土肥比例1:1计，肥料166.876m</w:t>
            </w:r>
            <w:r>
              <w:rPr>
                <w:rFonts w:hint="eastAsia" w:ascii="宋体" w:hAnsi="宋体" w:eastAsia="宋体" w:cs="宋体"/>
                <w:color w:val="000000"/>
                <w:kern w:val="0"/>
                <w:sz w:val="24"/>
                <w:szCs w:val="24"/>
                <w:highlight w:val="none"/>
                <w:vertAlign w:val="superscript"/>
                <w:lang w:bidi="ar"/>
              </w:rPr>
              <w:t>3</w:t>
            </w:r>
            <w:r>
              <w:rPr>
                <w:rFonts w:hint="eastAsia" w:ascii="宋体" w:hAnsi="宋体" w:eastAsia="宋体" w:cs="宋体"/>
                <w:color w:val="000000"/>
                <w:kern w:val="0"/>
                <w:sz w:val="24"/>
                <w:szCs w:val="24"/>
                <w:highlight w:val="none"/>
                <w:lang w:bidi="ar"/>
              </w:rPr>
              <w:t>。工作内容及规格：1、肥料采购；2、肥料长途运输；3、肥料短途运输（人工运输500m）;回填客土和微生物基质肥，搅拌均匀。材料规格：发酵2个月及以上的微生物基质肥。</w:t>
            </w:r>
          </w:p>
        </w:tc>
        <w:tc>
          <w:tcPr>
            <w:tcW w:w="437" w:type="pct"/>
            <w:shd w:val="clear" w:color="auto" w:fill="auto"/>
            <w:noWrap/>
            <w:vAlign w:val="center"/>
          </w:tcPr>
          <w:p w14:paraId="1EC0981C">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m3</w:t>
            </w:r>
          </w:p>
        </w:tc>
        <w:tc>
          <w:tcPr>
            <w:tcW w:w="319" w:type="pct"/>
            <w:shd w:val="clear" w:color="auto" w:fill="auto"/>
            <w:vAlign w:val="center"/>
          </w:tcPr>
          <w:p w14:paraId="297AA4E7">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166.9</w:t>
            </w:r>
          </w:p>
        </w:tc>
      </w:tr>
      <w:tr w14:paraId="344F1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494" w:type="pct"/>
            <w:shd w:val="clear" w:color="auto" w:fill="auto"/>
            <w:noWrap/>
            <w:vAlign w:val="center"/>
          </w:tcPr>
          <w:p w14:paraId="412AE83B">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6</w:t>
            </w:r>
          </w:p>
        </w:tc>
        <w:tc>
          <w:tcPr>
            <w:tcW w:w="1136" w:type="pct"/>
            <w:shd w:val="clear" w:color="auto" w:fill="auto"/>
            <w:noWrap/>
            <w:vAlign w:val="center"/>
          </w:tcPr>
          <w:p w14:paraId="065FC6B6">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供水及灌溉系统</w:t>
            </w:r>
          </w:p>
        </w:tc>
        <w:tc>
          <w:tcPr>
            <w:tcW w:w="2611" w:type="pct"/>
            <w:shd w:val="clear" w:color="auto" w:fill="auto"/>
            <w:vAlign w:val="center"/>
          </w:tcPr>
          <w:p w14:paraId="61762B32">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工作量计算：1、智能抽水控制系统1套；2、储水罐10m</w:t>
            </w:r>
            <w:r>
              <w:rPr>
                <w:rFonts w:hint="eastAsia" w:ascii="宋体" w:hAnsi="宋体" w:eastAsia="宋体" w:cs="宋体"/>
                <w:color w:val="000000"/>
                <w:kern w:val="0"/>
                <w:sz w:val="24"/>
                <w:szCs w:val="24"/>
                <w:highlight w:val="none"/>
                <w:vertAlign w:val="superscript"/>
                <w:lang w:bidi="ar"/>
              </w:rPr>
              <w:t>3</w:t>
            </w:r>
            <w:r>
              <w:rPr>
                <w:rFonts w:hint="eastAsia" w:ascii="宋体" w:hAnsi="宋体" w:eastAsia="宋体" w:cs="宋体"/>
                <w:color w:val="000000"/>
                <w:kern w:val="0"/>
                <w:sz w:val="24"/>
                <w:szCs w:val="24"/>
                <w:highlight w:val="none"/>
                <w:lang w:bidi="ar"/>
              </w:rPr>
              <w:t>；3、全新料∮32PE管1335m_、全新料∮16PE管1335m、过滤器1套、减压阀3套、排气阀4套、智能时控设备2套。</w:t>
            </w:r>
            <w:r>
              <w:rPr>
                <w:rStyle w:val="16"/>
                <w:rFonts w:hint="default"/>
                <w:highlight w:val="none"/>
                <w:lang w:bidi="ar"/>
              </w:rPr>
              <w:t>工作内容及规格</w:t>
            </w:r>
            <w:r>
              <w:rPr>
                <w:rFonts w:hint="eastAsia" w:ascii="宋体" w:hAnsi="宋体" w:eastAsia="宋体" w:cs="宋体"/>
                <w:color w:val="000000"/>
                <w:kern w:val="0"/>
                <w:sz w:val="24"/>
                <w:szCs w:val="24"/>
                <w:highlight w:val="none"/>
                <w:lang w:bidi="ar"/>
              </w:rPr>
              <w:t>：1、设备采购；2、设备安装；设备调试；材料规格：32PE管(1.2MPa）、全新料∮16PE管（0.6MPa）、过滤器、减压阀、排气阀、智能时控设备。</w:t>
            </w:r>
          </w:p>
        </w:tc>
        <w:tc>
          <w:tcPr>
            <w:tcW w:w="437" w:type="pct"/>
            <w:shd w:val="clear" w:color="auto" w:fill="auto"/>
            <w:noWrap/>
            <w:vAlign w:val="center"/>
          </w:tcPr>
          <w:p w14:paraId="509DC4E7">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套</w:t>
            </w:r>
          </w:p>
        </w:tc>
        <w:tc>
          <w:tcPr>
            <w:tcW w:w="319" w:type="pct"/>
            <w:shd w:val="clear" w:color="auto" w:fill="auto"/>
            <w:vAlign w:val="center"/>
          </w:tcPr>
          <w:p w14:paraId="6AFE9B40">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r>
      <w:tr w14:paraId="3F3B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494" w:type="pct"/>
            <w:shd w:val="clear" w:color="auto" w:fill="auto"/>
            <w:noWrap/>
            <w:vAlign w:val="center"/>
          </w:tcPr>
          <w:p w14:paraId="7F7309BB">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7</w:t>
            </w:r>
          </w:p>
        </w:tc>
        <w:tc>
          <w:tcPr>
            <w:tcW w:w="1136" w:type="pct"/>
            <w:shd w:val="clear" w:color="auto" w:fill="auto"/>
            <w:noWrap/>
            <w:vAlign w:val="center"/>
          </w:tcPr>
          <w:p w14:paraId="6912B7C6">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监控系统</w:t>
            </w:r>
          </w:p>
        </w:tc>
        <w:tc>
          <w:tcPr>
            <w:tcW w:w="2611" w:type="pct"/>
            <w:shd w:val="clear" w:color="auto" w:fill="auto"/>
            <w:vAlign w:val="center"/>
          </w:tcPr>
          <w:p w14:paraId="2CAA1AA9">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工作量计算：每个平台一套，计3套；水箱1套；合计4套。工作内容及规格：太阳能无线全网5G监控系统。</w:t>
            </w:r>
          </w:p>
        </w:tc>
        <w:tc>
          <w:tcPr>
            <w:tcW w:w="437" w:type="pct"/>
            <w:shd w:val="clear" w:color="auto" w:fill="auto"/>
            <w:noWrap/>
            <w:vAlign w:val="center"/>
          </w:tcPr>
          <w:p w14:paraId="2A68A6AB">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台套</w:t>
            </w:r>
          </w:p>
        </w:tc>
        <w:tc>
          <w:tcPr>
            <w:tcW w:w="319" w:type="pct"/>
            <w:shd w:val="clear" w:color="auto" w:fill="auto"/>
            <w:vAlign w:val="center"/>
          </w:tcPr>
          <w:p w14:paraId="4B6F2978">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4</w:t>
            </w:r>
          </w:p>
        </w:tc>
      </w:tr>
      <w:tr w14:paraId="2748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494" w:type="pct"/>
            <w:shd w:val="clear" w:color="auto" w:fill="auto"/>
            <w:noWrap/>
            <w:vAlign w:val="center"/>
          </w:tcPr>
          <w:p w14:paraId="6374FAFF">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8</w:t>
            </w:r>
          </w:p>
        </w:tc>
        <w:tc>
          <w:tcPr>
            <w:tcW w:w="1136" w:type="pct"/>
            <w:shd w:val="clear" w:color="auto" w:fill="auto"/>
            <w:noWrap/>
            <w:vAlign w:val="center"/>
          </w:tcPr>
          <w:p w14:paraId="65260988">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后期养护</w:t>
            </w:r>
          </w:p>
        </w:tc>
        <w:tc>
          <w:tcPr>
            <w:tcW w:w="2611" w:type="pct"/>
            <w:shd w:val="clear" w:color="auto" w:fill="auto"/>
            <w:vAlign w:val="center"/>
          </w:tcPr>
          <w:p w14:paraId="54DF0966">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除草/松土/落石清理/流土堆清理/牵引/施肥/爬藤补种/灌溉系统检修维护等。5-9月每个月常规养护1次/月，其他时段养护频度养护2月/次，养护时长2年</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val="en-US" w:eastAsia="zh-CN" w:bidi="ar"/>
              </w:rPr>
              <w:t>两年后最低达到</w:t>
            </w:r>
            <w:r>
              <w:rPr>
                <w:rFonts w:hint="eastAsia" w:ascii="宋体" w:hAnsi="宋体" w:eastAsia="宋体" w:cs="宋体"/>
                <w:color w:val="000000"/>
                <w:kern w:val="0"/>
                <w:sz w:val="24"/>
                <w:szCs w:val="24"/>
                <w:highlight w:val="none"/>
                <w:lang w:bidi="ar"/>
              </w:rPr>
              <w:t>挂网满铺段生长量7～10米，挂网2米段覆盖率100%；成活率90%。</w:t>
            </w:r>
          </w:p>
        </w:tc>
        <w:tc>
          <w:tcPr>
            <w:tcW w:w="437" w:type="pct"/>
            <w:shd w:val="clear" w:color="auto" w:fill="auto"/>
            <w:noWrap/>
            <w:vAlign w:val="center"/>
          </w:tcPr>
          <w:p w14:paraId="1DBE1ECF">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月</w:t>
            </w:r>
          </w:p>
        </w:tc>
        <w:tc>
          <w:tcPr>
            <w:tcW w:w="319" w:type="pct"/>
            <w:shd w:val="clear" w:color="auto" w:fill="auto"/>
            <w:vAlign w:val="center"/>
          </w:tcPr>
          <w:p w14:paraId="4321F381">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24</w:t>
            </w:r>
          </w:p>
        </w:tc>
      </w:tr>
      <w:tr w14:paraId="4159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494" w:type="pct"/>
            <w:shd w:val="clear" w:color="auto" w:fill="auto"/>
            <w:noWrap/>
            <w:vAlign w:val="center"/>
          </w:tcPr>
          <w:p w14:paraId="09216ECB">
            <w:pPr>
              <w:widowControl/>
              <w:jc w:val="both"/>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bidi="ar"/>
              </w:rPr>
              <w:t>二）</w:t>
            </w:r>
          </w:p>
        </w:tc>
        <w:tc>
          <w:tcPr>
            <w:tcW w:w="1136" w:type="pct"/>
            <w:shd w:val="clear" w:color="auto" w:fill="auto"/>
            <w:noWrap/>
            <w:vAlign w:val="center"/>
          </w:tcPr>
          <w:p w14:paraId="293B7D25">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土石质运输道路边坡藤本种植段</w:t>
            </w:r>
          </w:p>
        </w:tc>
        <w:tc>
          <w:tcPr>
            <w:tcW w:w="2611" w:type="pct"/>
            <w:shd w:val="clear" w:color="auto" w:fill="auto"/>
            <w:noWrap/>
            <w:vAlign w:val="center"/>
          </w:tcPr>
          <w:p w14:paraId="024D6DD4">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一区藤本种植370m，二区藤本种植170m，合计540m</w:t>
            </w:r>
          </w:p>
        </w:tc>
        <w:tc>
          <w:tcPr>
            <w:tcW w:w="437" w:type="pct"/>
            <w:shd w:val="clear" w:color="auto" w:fill="auto"/>
            <w:noWrap/>
            <w:vAlign w:val="center"/>
          </w:tcPr>
          <w:p w14:paraId="754352C1">
            <w:pPr>
              <w:rPr>
                <w:rFonts w:ascii="宋体" w:hAnsi="宋体" w:eastAsia="宋体" w:cs="宋体"/>
                <w:color w:val="000000"/>
                <w:sz w:val="24"/>
                <w:szCs w:val="24"/>
                <w:highlight w:val="none"/>
              </w:rPr>
            </w:pPr>
          </w:p>
        </w:tc>
        <w:tc>
          <w:tcPr>
            <w:tcW w:w="319" w:type="pct"/>
            <w:shd w:val="clear" w:color="auto" w:fill="auto"/>
            <w:noWrap/>
            <w:vAlign w:val="center"/>
          </w:tcPr>
          <w:p w14:paraId="4BC6D7C1">
            <w:pPr>
              <w:rPr>
                <w:rFonts w:ascii="宋体" w:hAnsi="宋体" w:eastAsia="宋体" w:cs="宋体"/>
                <w:color w:val="000000"/>
                <w:sz w:val="24"/>
                <w:szCs w:val="24"/>
                <w:highlight w:val="none"/>
              </w:rPr>
            </w:pPr>
          </w:p>
        </w:tc>
      </w:tr>
      <w:tr w14:paraId="0DCD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94" w:type="pct"/>
            <w:shd w:val="clear" w:color="auto" w:fill="auto"/>
            <w:vAlign w:val="center"/>
          </w:tcPr>
          <w:p w14:paraId="1EA23832">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1136" w:type="pct"/>
            <w:shd w:val="clear" w:color="auto" w:fill="auto"/>
            <w:noWrap/>
            <w:vAlign w:val="center"/>
          </w:tcPr>
          <w:p w14:paraId="2E8D7886">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种植槽施工</w:t>
            </w:r>
          </w:p>
        </w:tc>
        <w:tc>
          <w:tcPr>
            <w:tcW w:w="2611" w:type="pct"/>
            <w:shd w:val="clear" w:color="auto" w:fill="auto"/>
            <w:vAlign w:val="center"/>
          </w:tcPr>
          <w:p w14:paraId="3310AA03">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工作量计算：一区藤本种植370m，二区藤本种植170m，合计540m。工作内容及规格：开挖种植槽，规格为0.5m*0.5m，为碎石质土。</w:t>
            </w:r>
          </w:p>
        </w:tc>
        <w:tc>
          <w:tcPr>
            <w:tcW w:w="437" w:type="pct"/>
            <w:shd w:val="clear" w:color="auto" w:fill="auto"/>
            <w:noWrap/>
            <w:vAlign w:val="center"/>
          </w:tcPr>
          <w:p w14:paraId="2E231A97">
            <w:pPr>
              <w:widowControl/>
              <w:jc w:val="center"/>
              <w:textAlignment w:val="center"/>
              <w:rPr>
                <w:rFonts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m</w:t>
            </w:r>
          </w:p>
        </w:tc>
        <w:tc>
          <w:tcPr>
            <w:tcW w:w="319" w:type="pct"/>
            <w:shd w:val="clear" w:color="auto" w:fill="auto"/>
            <w:vAlign w:val="center"/>
          </w:tcPr>
          <w:p w14:paraId="554AD44C">
            <w:pPr>
              <w:widowControl/>
              <w:jc w:val="center"/>
              <w:textAlignment w:val="center"/>
              <w:rPr>
                <w:rFonts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540</w:t>
            </w:r>
          </w:p>
        </w:tc>
      </w:tr>
      <w:tr w14:paraId="1FB3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94" w:type="pct"/>
            <w:shd w:val="clear" w:color="auto" w:fill="auto"/>
            <w:vAlign w:val="center"/>
          </w:tcPr>
          <w:p w14:paraId="008FB151">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136" w:type="pct"/>
            <w:shd w:val="clear" w:color="auto" w:fill="auto"/>
            <w:noWrap/>
            <w:vAlign w:val="center"/>
          </w:tcPr>
          <w:p w14:paraId="6F6DD7CE">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微生物基质肥</w:t>
            </w:r>
          </w:p>
        </w:tc>
        <w:tc>
          <w:tcPr>
            <w:tcW w:w="2611" w:type="pct"/>
            <w:shd w:val="clear" w:color="auto" w:fill="auto"/>
            <w:vAlign w:val="center"/>
          </w:tcPr>
          <w:p w14:paraId="37B77E09">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工作量计算：平台长度540m,种植槽规格0.5m*0.5m，土肥比例1:1计，肥料67.5m3。工作内容及规格：1、肥料采购；2、肥料长途运输；3、肥料短途运输（人工运输50m）；4、回填客土和微生物基质肥，搅拌均匀。材料规格：发酵2个月及以上的微生物基质肥。</w:t>
            </w:r>
          </w:p>
        </w:tc>
        <w:tc>
          <w:tcPr>
            <w:tcW w:w="437" w:type="pct"/>
            <w:shd w:val="clear" w:color="auto" w:fill="auto"/>
            <w:noWrap/>
            <w:vAlign w:val="center"/>
          </w:tcPr>
          <w:p w14:paraId="72E3E694">
            <w:pPr>
              <w:widowControl/>
              <w:jc w:val="center"/>
              <w:textAlignment w:val="center"/>
              <w:rPr>
                <w:rFonts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m3</w:t>
            </w:r>
          </w:p>
        </w:tc>
        <w:tc>
          <w:tcPr>
            <w:tcW w:w="319" w:type="pct"/>
            <w:shd w:val="clear" w:color="auto" w:fill="auto"/>
            <w:vAlign w:val="center"/>
          </w:tcPr>
          <w:p w14:paraId="74092FD4">
            <w:pPr>
              <w:widowControl/>
              <w:jc w:val="center"/>
              <w:textAlignment w:val="center"/>
              <w:rPr>
                <w:rFonts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67.5</w:t>
            </w:r>
          </w:p>
        </w:tc>
      </w:tr>
      <w:tr w14:paraId="7C5C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494" w:type="pct"/>
            <w:shd w:val="clear" w:color="auto" w:fill="auto"/>
            <w:vAlign w:val="center"/>
          </w:tcPr>
          <w:p w14:paraId="1A7D8F8E">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3</w:t>
            </w:r>
          </w:p>
        </w:tc>
        <w:tc>
          <w:tcPr>
            <w:tcW w:w="1136" w:type="pct"/>
            <w:shd w:val="clear" w:color="auto" w:fill="auto"/>
            <w:noWrap/>
            <w:vAlign w:val="center"/>
          </w:tcPr>
          <w:p w14:paraId="651BC5B6">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爬藤</w:t>
            </w:r>
          </w:p>
        </w:tc>
        <w:tc>
          <w:tcPr>
            <w:tcW w:w="2611" w:type="pct"/>
            <w:shd w:val="clear" w:color="auto" w:fill="auto"/>
            <w:vAlign w:val="center"/>
          </w:tcPr>
          <w:p w14:paraId="4E34FF8E">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工作量计算：长度540m，按5株/m计算，藤本数量为2700m。多品类混栽（葛藤1350株，爬山虎1350株）。工作内容及规格：1、回填客土和微生物基质肥；2、藤本采购；3、藤本种植。材料规格：2年以上容器苗，苗壮、根粗。。</w:t>
            </w:r>
          </w:p>
        </w:tc>
        <w:tc>
          <w:tcPr>
            <w:tcW w:w="437" w:type="pct"/>
            <w:shd w:val="clear" w:color="auto" w:fill="auto"/>
            <w:noWrap/>
            <w:vAlign w:val="center"/>
          </w:tcPr>
          <w:p w14:paraId="18FCE52B">
            <w:pPr>
              <w:widowControl/>
              <w:jc w:val="center"/>
              <w:textAlignment w:val="center"/>
              <w:rPr>
                <w:rFonts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株</w:t>
            </w:r>
          </w:p>
        </w:tc>
        <w:tc>
          <w:tcPr>
            <w:tcW w:w="319" w:type="pct"/>
            <w:shd w:val="clear" w:color="auto" w:fill="auto"/>
            <w:vAlign w:val="center"/>
          </w:tcPr>
          <w:p w14:paraId="18CB8E2A">
            <w:pPr>
              <w:widowControl/>
              <w:jc w:val="center"/>
              <w:textAlignment w:val="center"/>
              <w:rPr>
                <w:rFonts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2700</w:t>
            </w:r>
          </w:p>
        </w:tc>
      </w:tr>
      <w:tr w14:paraId="1FD6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494" w:type="pct"/>
            <w:shd w:val="clear" w:color="auto" w:fill="auto"/>
            <w:vAlign w:val="center"/>
          </w:tcPr>
          <w:p w14:paraId="3D32422C">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4</w:t>
            </w:r>
          </w:p>
        </w:tc>
        <w:tc>
          <w:tcPr>
            <w:tcW w:w="1136" w:type="pct"/>
            <w:shd w:val="clear" w:color="auto" w:fill="auto"/>
            <w:noWrap/>
            <w:vAlign w:val="center"/>
          </w:tcPr>
          <w:p w14:paraId="6F4A3181">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灌溉系统</w:t>
            </w:r>
          </w:p>
        </w:tc>
        <w:tc>
          <w:tcPr>
            <w:tcW w:w="2611" w:type="pct"/>
            <w:shd w:val="clear" w:color="auto" w:fill="auto"/>
            <w:vAlign w:val="center"/>
          </w:tcPr>
          <w:p w14:paraId="75CB0F1B">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工作量计算：1、全新料∮32PE管540m_、全新料∮16PE管540m、过滤器1套、减压阀2套、排气阀2套、智能时控设备1套。</w:t>
            </w:r>
            <w:r>
              <w:rPr>
                <w:rStyle w:val="16"/>
                <w:rFonts w:hint="default"/>
                <w:highlight w:val="none"/>
                <w:lang w:bidi="ar"/>
              </w:rPr>
              <w:t>工作内容及规格</w:t>
            </w:r>
            <w:r>
              <w:rPr>
                <w:rFonts w:hint="eastAsia" w:ascii="宋体" w:hAnsi="宋体" w:eastAsia="宋体" w:cs="宋体"/>
                <w:color w:val="000000"/>
                <w:kern w:val="0"/>
                <w:sz w:val="24"/>
                <w:szCs w:val="24"/>
                <w:highlight w:val="none"/>
                <w:lang w:bidi="ar"/>
              </w:rPr>
              <w:t>：1、设备采购；2、设备安装；设备调试；材料规格：32PE管(1.2MPa）、全新料∮16PE管（0.6MPa）、过滤器、减压阀、排气阀、智能时控设备。</w:t>
            </w:r>
          </w:p>
        </w:tc>
        <w:tc>
          <w:tcPr>
            <w:tcW w:w="437" w:type="pct"/>
            <w:shd w:val="clear" w:color="auto" w:fill="auto"/>
            <w:noWrap/>
            <w:vAlign w:val="center"/>
          </w:tcPr>
          <w:p w14:paraId="4B0426D7">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m</w:t>
            </w:r>
          </w:p>
        </w:tc>
        <w:tc>
          <w:tcPr>
            <w:tcW w:w="319" w:type="pct"/>
            <w:shd w:val="clear" w:color="auto" w:fill="auto"/>
            <w:vAlign w:val="center"/>
          </w:tcPr>
          <w:p w14:paraId="5DBACF60">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540</w:t>
            </w:r>
          </w:p>
        </w:tc>
      </w:tr>
      <w:tr w14:paraId="45A0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94" w:type="pct"/>
            <w:shd w:val="clear" w:color="auto" w:fill="auto"/>
            <w:vAlign w:val="center"/>
          </w:tcPr>
          <w:p w14:paraId="26253522">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4</w:t>
            </w:r>
          </w:p>
        </w:tc>
        <w:tc>
          <w:tcPr>
            <w:tcW w:w="1136" w:type="pct"/>
            <w:shd w:val="clear" w:color="auto" w:fill="auto"/>
            <w:noWrap/>
            <w:vAlign w:val="center"/>
          </w:tcPr>
          <w:p w14:paraId="1F2EA1F8">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后期养护</w:t>
            </w:r>
          </w:p>
        </w:tc>
        <w:tc>
          <w:tcPr>
            <w:tcW w:w="2611" w:type="pct"/>
            <w:shd w:val="clear" w:color="auto" w:fill="auto"/>
            <w:vAlign w:val="center"/>
          </w:tcPr>
          <w:p w14:paraId="74EF973D">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养护期同上</w:t>
            </w:r>
          </w:p>
        </w:tc>
        <w:tc>
          <w:tcPr>
            <w:tcW w:w="437" w:type="pct"/>
            <w:shd w:val="clear" w:color="auto" w:fill="auto"/>
            <w:noWrap/>
            <w:vAlign w:val="center"/>
          </w:tcPr>
          <w:p w14:paraId="51BC4378">
            <w:pPr>
              <w:jc w:val="center"/>
              <w:rPr>
                <w:rFonts w:ascii="宋体" w:hAnsi="宋体" w:eastAsia="宋体" w:cs="宋体"/>
                <w:color w:val="000000"/>
                <w:sz w:val="18"/>
                <w:szCs w:val="18"/>
                <w:highlight w:val="none"/>
              </w:rPr>
            </w:pPr>
          </w:p>
        </w:tc>
        <w:tc>
          <w:tcPr>
            <w:tcW w:w="319" w:type="pct"/>
            <w:shd w:val="clear" w:color="auto" w:fill="auto"/>
            <w:vAlign w:val="center"/>
          </w:tcPr>
          <w:p w14:paraId="5268A938">
            <w:pPr>
              <w:jc w:val="center"/>
              <w:rPr>
                <w:rFonts w:ascii="宋体" w:hAnsi="宋体" w:eastAsia="宋体" w:cs="宋体"/>
                <w:color w:val="000000"/>
                <w:sz w:val="18"/>
                <w:szCs w:val="18"/>
                <w:highlight w:val="none"/>
              </w:rPr>
            </w:pPr>
          </w:p>
        </w:tc>
      </w:tr>
    </w:tbl>
    <w:p w14:paraId="640661A3">
      <w:pPr>
        <w:spacing w:line="360" w:lineRule="auto"/>
        <w:ind w:firstLine="480" w:firstLineChars="200"/>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2、完工时间：合同签订后2个月内。</w:t>
      </w:r>
    </w:p>
    <w:p w14:paraId="5F85A07E">
      <w:pPr>
        <w:spacing w:line="360" w:lineRule="auto"/>
        <w:ind w:firstLine="480" w:firstLineChars="200"/>
        <w:rPr>
          <w:rFonts w:ascii="宋体" w:hAnsi="宋体" w:eastAsia="宋体" w:cs="宋体"/>
          <w:bCs/>
          <w:sz w:val="24"/>
          <w:highlight w:val="none"/>
        </w:rPr>
      </w:pPr>
      <w:r>
        <w:rPr>
          <w:rFonts w:hint="eastAsia" w:ascii="宋体" w:hAnsi="宋体" w:eastAsia="宋体" w:cs="宋体"/>
          <w:bCs/>
          <w:sz w:val="24"/>
          <w:highlight w:val="none"/>
        </w:rPr>
        <w:t>3、施工地点：招标人指定地点。</w:t>
      </w:r>
    </w:p>
    <w:p w14:paraId="4F604338">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4、质量要求：</w:t>
      </w:r>
      <w:r>
        <w:rPr>
          <w:rFonts w:hint="eastAsia" w:ascii="宋体" w:hAnsi="宋体" w:eastAsia="宋体"/>
          <w:iCs/>
          <w:sz w:val="24"/>
          <w:szCs w:val="24"/>
          <w:highlight w:val="none"/>
        </w:rPr>
        <w:t>合格</w:t>
      </w:r>
      <w:r>
        <w:rPr>
          <w:rFonts w:hint="eastAsia" w:ascii="宋体" w:hAnsi="宋体" w:eastAsia="宋体" w:cs="宋体"/>
          <w:color w:val="000000"/>
          <w:sz w:val="24"/>
          <w:highlight w:val="none"/>
        </w:rPr>
        <w:t>。</w:t>
      </w:r>
    </w:p>
    <w:p w14:paraId="05281AF1">
      <w:pPr>
        <w:pStyle w:val="4"/>
        <w:numPr>
          <w:ilvl w:val="0"/>
          <w:numId w:val="1"/>
        </w:numPr>
        <w:tabs>
          <w:tab w:val="left" w:pos="425"/>
        </w:tabs>
        <w:spacing w:before="0" w:after="0"/>
        <w:ind w:left="0" w:leftChars="0" w:firstLine="420" w:firstLineChars="0"/>
        <w:rPr>
          <w:rFonts w:ascii="宋体" w:hAnsi="宋体" w:cs="宋体"/>
          <w:i w:val="0"/>
          <w:sz w:val="24"/>
          <w:szCs w:val="24"/>
          <w:highlight w:val="none"/>
        </w:rPr>
      </w:pPr>
      <w:bookmarkStart w:id="7" w:name="_Toc241901982"/>
      <w:bookmarkStart w:id="8" w:name="_Toc241902811"/>
      <w:bookmarkStart w:id="9" w:name="_Toc22428"/>
      <w:r>
        <w:rPr>
          <w:rFonts w:hint="eastAsia" w:ascii="宋体" w:hAnsi="宋体" w:cs="宋体"/>
          <w:i w:val="0"/>
          <w:sz w:val="24"/>
          <w:szCs w:val="24"/>
          <w:highlight w:val="none"/>
        </w:rPr>
        <w:t>投标人资格要求</w:t>
      </w:r>
      <w:bookmarkEnd w:id="7"/>
      <w:bookmarkEnd w:id="8"/>
      <w:bookmarkEnd w:id="9"/>
    </w:p>
    <w:p w14:paraId="2EF11526">
      <w:pPr>
        <w:widowControl/>
        <w:tabs>
          <w:tab w:val="left" w:pos="709"/>
        </w:tabs>
        <w:spacing w:line="360" w:lineRule="auto"/>
        <w:ind w:left="124" w:leftChars="59" w:firstLine="300" w:firstLineChars="125"/>
        <w:jc w:val="left"/>
        <w:rPr>
          <w:rFonts w:ascii="宋体" w:hAnsi="宋体" w:eastAsia="宋体" w:cs="宋体"/>
          <w:sz w:val="24"/>
          <w:szCs w:val="24"/>
          <w:highlight w:val="none"/>
        </w:rPr>
      </w:pPr>
      <w:r>
        <w:rPr>
          <w:rFonts w:ascii="宋体" w:hAnsi="宋体" w:eastAsia="宋体" w:cs="宋体"/>
          <w:sz w:val="24"/>
          <w:szCs w:val="24"/>
          <w:highlight w:val="none"/>
        </w:rPr>
        <w:t>1</w:t>
      </w:r>
      <w:r>
        <w:rPr>
          <w:rFonts w:hint="eastAsia" w:ascii="宋体" w:hAnsi="宋体" w:eastAsia="宋体" w:cs="宋体"/>
          <w:sz w:val="24"/>
          <w:szCs w:val="24"/>
          <w:highlight w:val="none"/>
        </w:rPr>
        <w:t>、投标人必须具有独立法人资格和独立承担民事责任的能力，遵守国家法律和政策，依法经营，具有工商部门颁发的有效营业执照，营业执照经营范</w:t>
      </w:r>
      <w:r>
        <w:rPr>
          <w:rFonts w:hint="eastAsia" w:ascii="宋体" w:hAnsi="宋体" w:eastAsia="宋体" w:cs="宋体"/>
          <w:color w:val="000000" w:themeColor="text1"/>
          <w:sz w:val="24"/>
          <w:szCs w:val="24"/>
          <w:highlight w:val="none"/>
          <w14:textFill>
            <w14:solidFill>
              <w14:schemeClr w14:val="tx1"/>
            </w14:solidFill>
          </w14:textFill>
        </w:rPr>
        <w:t>围具备生态恢复及生态保护服务或园林绿化工程施工或规划设计管理内容等任意一项即可（复印件</w:t>
      </w:r>
      <w:r>
        <w:rPr>
          <w:rFonts w:hint="eastAsia" w:ascii="宋体" w:hAnsi="宋体" w:eastAsia="宋体" w:cs="宋体"/>
          <w:sz w:val="24"/>
          <w:szCs w:val="24"/>
          <w:highlight w:val="none"/>
        </w:rPr>
        <w:t>加盖公章），没有处于被责令停业、财产被接管、冻结、破产状态；投标人注册资本金不小于500万元人民币。</w:t>
      </w:r>
    </w:p>
    <w:p w14:paraId="4A26F02F">
      <w:pPr>
        <w:widowControl/>
        <w:tabs>
          <w:tab w:val="left" w:pos="709"/>
        </w:tabs>
        <w:spacing w:line="360" w:lineRule="auto"/>
        <w:ind w:left="124" w:leftChars="59" w:firstLine="300" w:firstLineChars="125"/>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2、投标人提供2</w:t>
      </w:r>
      <w:r>
        <w:rPr>
          <w:rFonts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19年1月1日（以签订合同时间为准）承担过1个或以上藤本治理项目业绩，合同复印件必须包含首页、签字页、主要建设内容等关键页。</w:t>
      </w:r>
    </w:p>
    <w:p w14:paraId="240D0631">
      <w:pPr>
        <w:widowControl/>
        <w:tabs>
          <w:tab w:val="left" w:pos="709"/>
        </w:tabs>
        <w:spacing w:line="360" w:lineRule="auto"/>
        <w:ind w:left="124" w:leftChars="59" w:firstLine="300" w:firstLineChars="125"/>
        <w:jc w:val="left"/>
        <w:rPr>
          <w:rFonts w:ascii="宋体" w:hAnsi="宋体" w:eastAsia="宋体" w:cs="宋体"/>
          <w:color w:val="000000"/>
          <w:sz w:val="24"/>
          <w:szCs w:val="24"/>
          <w:highlight w:val="none"/>
        </w:rPr>
      </w:pPr>
      <w:r>
        <w:rPr>
          <w:rFonts w:hint="eastAsia" w:ascii="宋体" w:hAnsi="宋体" w:eastAsia="宋体" w:cs="宋体"/>
          <w:sz w:val="24"/>
          <w:szCs w:val="24"/>
          <w:highlight w:val="none"/>
        </w:rPr>
        <w:t>3、 投标人具有良好的商业信誉和履行本项目的财务能力,提供在</w:t>
      </w:r>
      <w:r>
        <w:rPr>
          <w:rFonts w:hint="eastAsia" w:ascii="宋体" w:hAnsi="宋体" w:eastAsia="宋体" w:cs="宋体"/>
          <w:color w:val="000000"/>
          <w:sz w:val="24"/>
          <w:szCs w:val="24"/>
          <w:highlight w:val="none"/>
        </w:rPr>
        <w:t>全国法院失信被执行人名单信息公布与查询平台(zxgk.court.gov.cn/shixin)</w:t>
      </w:r>
      <w:r>
        <w:rPr>
          <w:rFonts w:hint="eastAsia" w:ascii="宋体" w:hAnsi="宋体" w:eastAsia="宋体" w:cs="宋体"/>
          <w:sz w:val="24"/>
          <w:szCs w:val="24"/>
          <w:highlight w:val="none"/>
        </w:rPr>
        <w:t>中未被列入“失信被执行人名单”的网页截图复印件；承诺未处于被住房城乡建设主管部门、自然资源部门、司法机关或财政部门暂停或者取消在本项目所在地投标资格的状态中。投标人应将前述“失信被执行人名单”查询结果以及未被暂停或取消本地投标资格承诺附于投标文件中</w:t>
      </w:r>
      <w:r>
        <w:rPr>
          <w:rFonts w:hint="eastAsia" w:ascii="宋体" w:hAnsi="宋体" w:eastAsia="宋体" w:cs="宋体"/>
          <w:color w:val="000000"/>
          <w:sz w:val="24"/>
          <w:szCs w:val="24"/>
          <w:highlight w:val="none"/>
        </w:rPr>
        <w:t>。</w:t>
      </w:r>
    </w:p>
    <w:p w14:paraId="3BE3D6C7">
      <w:pPr>
        <w:widowControl/>
        <w:tabs>
          <w:tab w:val="left" w:pos="709"/>
        </w:tabs>
        <w:spacing w:line="360" w:lineRule="auto"/>
        <w:ind w:left="124" w:leftChars="59" w:firstLine="300" w:firstLineChars="125"/>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4、至投标截止时间止，在国家企业信用信息公示系统(www.gsxt.gov.cn)中未被工商行政管理机关列入“严重违法失信名单”的(不包括投标人分支机构)。</w:t>
      </w:r>
    </w:p>
    <w:p w14:paraId="2157EE16">
      <w:pPr>
        <w:adjustRightInd w:val="0"/>
        <w:snapToGrid w:val="0"/>
        <w:spacing w:line="360" w:lineRule="auto"/>
        <w:ind w:firstLine="480" w:firstLineChars="200"/>
        <w:jc w:val="left"/>
        <w:rPr>
          <w:rFonts w:ascii="宋体" w:hAnsi="宋体" w:eastAsia="宋体"/>
          <w:b/>
          <w:bCs/>
          <w:sz w:val="24"/>
          <w:szCs w:val="24"/>
          <w:highlight w:val="none"/>
        </w:rPr>
      </w:pPr>
      <w:r>
        <w:rPr>
          <w:rFonts w:hint="eastAsia" w:ascii="宋体" w:hAnsi="宋体" w:eastAsia="宋体" w:cs="宋体"/>
          <w:bCs/>
          <w:sz w:val="24"/>
          <w:szCs w:val="24"/>
          <w:highlight w:val="none"/>
        </w:rPr>
        <w:t>5、</w:t>
      </w:r>
      <w:r>
        <w:rPr>
          <w:rFonts w:hint="eastAsia" w:ascii="宋体" w:hAnsi="宋体" w:eastAsia="宋体" w:cs="宋体"/>
          <w:b/>
          <w:sz w:val="24"/>
          <w:szCs w:val="24"/>
          <w:highlight w:val="none"/>
        </w:rPr>
        <w:t>本次招标不接受联合体投标，不得分包转包。</w:t>
      </w:r>
    </w:p>
    <w:p w14:paraId="02C1C4D1">
      <w:pPr>
        <w:pStyle w:val="4"/>
        <w:numPr>
          <w:ilvl w:val="0"/>
          <w:numId w:val="1"/>
        </w:numPr>
        <w:tabs>
          <w:tab w:val="left" w:pos="425"/>
        </w:tabs>
        <w:spacing w:before="0" w:after="0"/>
        <w:ind w:left="0" w:leftChars="0" w:firstLine="420" w:firstLineChars="0"/>
        <w:rPr>
          <w:rFonts w:ascii="宋体" w:hAnsi="宋体" w:cs="宋体"/>
          <w:i w:val="0"/>
          <w:sz w:val="24"/>
          <w:szCs w:val="24"/>
          <w:highlight w:val="none"/>
        </w:rPr>
      </w:pPr>
      <w:bookmarkStart w:id="10" w:name="_Toc241902812"/>
      <w:bookmarkStart w:id="11" w:name="_Toc241901983"/>
      <w:bookmarkStart w:id="12" w:name="_Toc7393"/>
      <w:r>
        <w:rPr>
          <w:rFonts w:hint="eastAsia" w:ascii="宋体" w:hAnsi="宋体" w:cs="宋体"/>
          <w:i w:val="0"/>
          <w:sz w:val="24"/>
          <w:szCs w:val="24"/>
          <w:highlight w:val="none"/>
        </w:rPr>
        <w:t>招标文件的获取</w:t>
      </w:r>
      <w:bookmarkEnd w:id="10"/>
      <w:bookmarkEnd w:id="11"/>
      <w:bookmarkEnd w:id="12"/>
    </w:p>
    <w:p w14:paraId="61C49452">
      <w:pPr>
        <w:adjustRightInd w:val="0"/>
        <w:spacing w:line="460" w:lineRule="exact"/>
        <w:ind w:firstLine="480" w:firstLineChars="200"/>
        <w:rPr>
          <w:rFonts w:ascii="宋体" w:hAnsi="宋体" w:eastAsia="宋体"/>
          <w:iCs/>
          <w:sz w:val="24"/>
          <w:szCs w:val="24"/>
          <w:highlight w:val="none"/>
        </w:rPr>
      </w:pPr>
      <w:bookmarkStart w:id="13" w:name="_Toc241902815"/>
      <w:bookmarkStart w:id="14" w:name="_Toc241901986"/>
      <w:bookmarkStart w:id="15" w:name="_Toc31306"/>
      <w:r>
        <w:rPr>
          <w:rFonts w:ascii="宋体" w:hAnsi="宋体" w:eastAsia="宋体"/>
          <w:iCs/>
          <w:sz w:val="24"/>
          <w:szCs w:val="24"/>
          <w:highlight w:val="none"/>
        </w:rPr>
        <w:t>4.1凡有意参加</w:t>
      </w:r>
      <w:r>
        <w:rPr>
          <w:rFonts w:hint="eastAsia" w:ascii="宋体" w:hAnsi="宋体" w:eastAsia="宋体"/>
          <w:iCs/>
          <w:sz w:val="24"/>
          <w:szCs w:val="24"/>
          <w:highlight w:val="none"/>
        </w:rPr>
        <w:t>的</w:t>
      </w:r>
      <w:r>
        <w:rPr>
          <w:rFonts w:ascii="宋体" w:hAnsi="宋体" w:eastAsia="宋体"/>
          <w:iCs/>
          <w:sz w:val="24"/>
          <w:szCs w:val="24"/>
          <w:highlight w:val="none"/>
        </w:rPr>
        <w:t>投标</w:t>
      </w:r>
      <w:r>
        <w:rPr>
          <w:rFonts w:hint="eastAsia" w:ascii="宋体" w:hAnsi="宋体" w:eastAsia="宋体"/>
          <w:iCs/>
          <w:sz w:val="24"/>
          <w:szCs w:val="24"/>
          <w:highlight w:val="none"/>
        </w:rPr>
        <w:t>人</w:t>
      </w:r>
      <w:r>
        <w:rPr>
          <w:rFonts w:ascii="宋体" w:hAnsi="宋体" w:eastAsia="宋体"/>
          <w:iCs/>
          <w:sz w:val="24"/>
          <w:szCs w:val="24"/>
          <w:highlight w:val="none"/>
        </w:rPr>
        <w:t>，请于</w:t>
      </w:r>
      <w:bookmarkStart w:id="16" w:name="EB2cb6da66a4e54f599425ad5f4a3155b4"/>
      <w:r>
        <w:rPr>
          <w:rFonts w:hint="eastAsia" w:ascii="宋体" w:hAnsi="宋体" w:eastAsia="宋体"/>
          <w:iCs/>
          <w:sz w:val="24"/>
          <w:szCs w:val="24"/>
          <w:highlight w:val="none"/>
          <w:u w:val="single"/>
        </w:rPr>
        <w:t>2024年</w:t>
      </w:r>
      <w:r>
        <w:rPr>
          <w:rFonts w:ascii="宋体" w:hAnsi="宋体" w:eastAsia="宋体"/>
          <w:iCs/>
          <w:sz w:val="24"/>
          <w:szCs w:val="24"/>
          <w:highlight w:val="none"/>
          <w:u w:val="single"/>
        </w:rPr>
        <w:t xml:space="preserve"> </w:t>
      </w:r>
      <w:r>
        <w:rPr>
          <w:rFonts w:hint="eastAsia" w:ascii="宋体" w:hAnsi="宋体" w:eastAsia="宋体"/>
          <w:iCs/>
          <w:sz w:val="24"/>
          <w:szCs w:val="24"/>
          <w:highlight w:val="none"/>
          <w:u w:val="single"/>
          <w:lang w:val="en-US" w:eastAsia="zh-CN"/>
        </w:rPr>
        <w:t>9</w:t>
      </w:r>
      <w:r>
        <w:rPr>
          <w:rFonts w:ascii="宋体" w:hAnsi="宋体" w:eastAsia="宋体"/>
          <w:iCs/>
          <w:sz w:val="24"/>
          <w:szCs w:val="24"/>
          <w:highlight w:val="none"/>
          <w:u w:val="single"/>
        </w:rPr>
        <w:t xml:space="preserve"> </w:t>
      </w:r>
      <w:r>
        <w:rPr>
          <w:rFonts w:hint="eastAsia" w:ascii="宋体" w:hAnsi="宋体" w:eastAsia="宋体"/>
          <w:iCs/>
          <w:sz w:val="24"/>
          <w:szCs w:val="24"/>
          <w:highlight w:val="none"/>
          <w:u w:val="single"/>
        </w:rPr>
        <w:t>月</w:t>
      </w:r>
      <w:r>
        <w:rPr>
          <w:rFonts w:ascii="宋体" w:hAnsi="宋体" w:eastAsia="宋体"/>
          <w:iCs/>
          <w:sz w:val="24"/>
          <w:szCs w:val="24"/>
          <w:highlight w:val="none"/>
          <w:u w:val="single"/>
        </w:rPr>
        <w:t xml:space="preserve"> </w:t>
      </w:r>
      <w:r>
        <w:rPr>
          <w:rFonts w:hint="eastAsia" w:ascii="宋体" w:hAnsi="宋体" w:eastAsia="宋体"/>
          <w:iCs/>
          <w:sz w:val="24"/>
          <w:szCs w:val="24"/>
          <w:highlight w:val="none"/>
          <w:u w:val="single"/>
          <w:lang w:val="en-US" w:eastAsia="zh-CN"/>
        </w:rPr>
        <w:t>15</w:t>
      </w:r>
      <w:r>
        <w:rPr>
          <w:rFonts w:ascii="宋体" w:hAnsi="宋体" w:eastAsia="宋体"/>
          <w:iCs/>
          <w:sz w:val="24"/>
          <w:szCs w:val="24"/>
          <w:highlight w:val="none"/>
          <w:u w:val="single"/>
        </w:rPr>
        <w:t xml:space="preserve"> </w:t>
      </w:r>
      <w:r>
        <w:rPr>
          <w:rFonts w:hint="eastAsia" w:ascii="宋体" w:hAnsi="宋体" w:eastAsia="宋体"/>
          <w:iCs/>
          <w:sz w:val="24"/>
          <w:szCs w:val="24"/>
          <w:highlight w:val="none"/>
          <w:u w:val="single"/>
        </w:rPr>
        <w:t>日</w:t>
      </w:r>
      <w:bookmarkEnd w:id="16"/>
      <w:r>
        <w:rPr>
          <w:rFonts w:ascii="宋体" w:hAnsi="宋体" w:eastAsia="宋体"/>
          <w:iCs/>
          <w:sz w:val="24"/>
          <w:szCs w:val="24"/>
          <w:highlight w:val="none"/>
        </w:rPr>
        <w:t>至</w:t>
      </w:r>
      <w:bookmarkStart w:id="17" w:name="EBd2ae98a60030410ca87b3a897487e632"/>
      <w:r>
        <w:rPr>
          <w:rFonts w:hint="eastAsia" w:ascii="宋体" w:hAnsi="宋体" w:eastAsia="宋体"/>
          <w:iCs/>
          <w:sz w:val="24"/>
          <w:szCs w:val="24"/>
          <w:highlight w:val="none"/>
          <w:u w:val="single"/>
        </w:rPr>
        <w:t>2024年</w:t>
      </w:r>
      <w:r>
        <w:rPr>
          <w:rFonts w:ascii="宋体" w:hAnsi="宋体" w:eastAsia="宋体"/>
          <w:iCs/>
          <w:sz w:val="24"/>
          <w:szCs w:val="24"/>
          <w:highlight w:val="none"/>
          <w:u w:val="single"/>
        </w:rPr>
        <w:t xml:space="preserve"> </w:t>
      </w:r>
      <w:r>
        <w:rPr>
          <w:rFonts w:hint="eastAsia" w:ascii="宋体" w:hAnsi="宋体" w:eastAsia="宋体"/>
          <w:iCs/>
          <w:sz w:val="24"/>
          <w:szCs w:val="24"/>
          <w:highlight w:val="none"/>
          <w:u w:val="single"/>
          <w:lang w:val="en-US" w:eastAsia="zh-CN"/>
        </w:rPr>
        <w:t>9</w:t>
      </w:r>
      <w:r>
        <w:rPr>
          <w:rFonts w:ascii="宋体" w:hAnsi="宋体" w:eastAsia="宋体"/>
          <w:iCs/>
          <w:sz w:val="24"/>
          <w:szCs w:val="24"/>
          <w:highlight w:val="none"/>
          <w:u w:val="single"/>
        </w:rPr>
        <w:t xml:space="preserve"> </w:t>
      </w:r>
      <w:r>
        <w:rPr>
          <w:rFonts w:hint="eastAsia" w:ascii="宋体" w:hAnsi="宋体" w:eastAsia="宋体"/>
          <w:iCs/>
          <w:sz w:val="24"/>
          <w:szCs w:val="24"/>
          <w:highlight w:val="none"/>
          <w:u w:val="single"/>
        </w:rPr>
        <w:t>月</w:t>
      </w:r>
      <w:r>
        <w:rPr>
          <w:rFonts w:ascii="宋体" w:hAnsi="宋体" w:eastAsia="宋体"/>
          <w:iCs/>
          <w:sz w:val="24"/>
          <w:szCs w:val="24"/>
          <w:highlight w:val="none"/>
          <w:u w:val="single"/>
        </w:rPr>
        <w:t xml:space="preserve"> </w:t>
      </w:r>
      <w:r>
        <w:rPr>
          <w:rFonts w:hint="eastAsia" w:ascii="宋体" w:hAnsi="宋体" w:eastAsia="宋体"/>
          <w:iCs/>
          <w:sz w:val="24"/>
          <w:szCs w:val="24"/>
          <w:highlight w:val="none"/>
          <w:u w:val="single"/>
          <w:lang w:val="en-US" w:eastAsia="zh-CN"/>
        </w:rPr>
        <w:t>23</w:t>
      </w:r>
      <w:r>
        <w:rPr>
          <w:rFonts w:ascii="宋体" w:hAnsi="宋体" w:eastAsia="宋体"/>
          <w:iCs/>
          <w:sz w:val="24"/>
          <w:szCs w:val="24"/>
          <w:highlight w:val="none"/>
          <w:u w:val="single"/>
        </w:rPr>
        <w:t xml:space="preserve"> </w:t>
      </w:r>
      <w:r>
        <w:rPr>
          <w:rFonts w:hint="eastAsia" w:ascii="宋体" w:hAnsi="宋体" w:eastAsia="宋体"/>
          <w:iCs/>
          <w:sz w:val="24"/>
          <w:szCs w:val="24"/>
          <w:highlight w:val="none"/>
          <w:u w:val="single"/>
        </w:rPr>
        <w:t>日</w:t>
      </w:r>
      <w:bookmarkEnd w:id="17"/>
      <w:r>
        <w:rPr>
          <w:rFonts w:hint="eastAsia" w:ascii="宋体" w:hAnsi="宋体" w:eastAsia="宋体"/>
          <w:iCs/>
          <w:sz w:val="24"/>
          <w:szCs w:val="24"/>
          <w:highlight w:val="none"/>
        </w:rPr>
        <w:t>，每日上午</w:t>
      </w:r>
      <w:r>
        <w:rPr>
          <w:rFonts w:hint="eastAsia" w:ascii="宋体" w:hAnsi="宋体" w:eastAsia="宋体"/>
          <w:iCs/>
          <w:sz w:val="24"/>
          <w:szCs w:val="24"/>
          <w:highlight w:val="none"/>
          <w:u w:val="single"/>
        </w:rPr>
        <w:t>09</w:t>
      </w:r>
      <w:r>
        <w:rPr>
          <w:rFonts w:hint="eastAsia" w:ascii="宋体" w:hAnsi="宋体" w:eastAsia="宋体"/>
          <w:iCs/>
          <w:sz w:val="24"/>
          <w:szCs w:val="24"/>
          <w:highlight w:val="none"/>
        </w:rPr>
        <w:t xml:space="preserve">时 </w:t>
      </w:r>
      <w:r>
        <w:rPr>
          <w:rFonts w:hint="eastAsia" w:ascii="宋体" w:hAnsi="宋体" w:eastAsia="宋体"/>
          <w:iCs/>
          <w:sz w:val="24"/>
          <w:szCs w:val="24"/>
          <w:highlight w:val="none"/>
          <w:u w:val="single"/>
        </w:rPr>
        <w:t xml:space="preserve">30 </w:t>
      </w:r>
      <w:r>
        <w:rPr>
          <w:rFonts w:hint="eastAsia" w:ascii="宋体" w:hAnsi="宋体" w:eastAsia="宋体"/>
          <w:iCs/>
          <w:sz w:val="24"/>
          <w:szCs w:val="24"/>
          <w:highlight w:val="none"/>
        </w:rPr>
        <w:t>分至</w:t>
      </w:r>
      <w:r>
        <w:rPr>
          <w:rFonts w:hint="eastAsia" w:ascii="宋体" w:hAnsi="宋体" w:eastAsia="宋体"/>
          <w:iCs/>
          <w:sz w:val="24"/>
          <w:szCs w:val="24"/>
          <w:highlight w:val="none"/>
          <w:u w:val="single"/>
        </w:rPr>
        <w:t xml:space="preserve"> 11</w:t>
      </w:r>
      <w:r>
        <w:rPr>
          <w:rFonts w:hint="eastAsia" w:ascii="宋体" w:hAnsi="宋体" w:eastAsia="宋体"/>
          <w:iCs/>
          <w:sz w:val="24"/>
          <w:szCs w:val="24"/>
          <w:highlight w:val="none"/>
        </w:rPr>
        <w:t>时</w:t>
      </w:r>
      <w:r>
        <w:rPr>
          <w:rFonts w:hint="eastAsia" w:ascii="宋体" w:hAnsi="宋体" w:eastAsia="宋体"/>
          <w:iCs/>
          <w:sz w:val="24"/>
          <w:szCs w:val="24"/>
          <w:highlight w:val="none"/>
          <w:u w:val="single"/>
        </w:rPr>
        <w:t xml:space="preserve"> 30 </w:t>
      </w:r>
      <w:r>
        <w:rPr>
          <w:rFonts w:hint="eastAsia" w:ascii="宋体" w:hAnsi="宋体" w:eastAsia="宋体"/>
          <w:iCs/>
          <w:sz w:val="24"/>
          <w:szCs w:val="24"/>
          <w:highlight w:val="none"/>
        </w:rPr>
        <w:t>分，下午</w:t>
      </w:r>
      <w:r>
        <w:rPr>
          <w:rFonts w:hint="eastAsia" w:ascii="宋体" w:hAnsi="宋体" w:eastAsia="宋体"/>
          <w:iCs/>
          <w:sz w:val="24"/>
          <w:szCs w:val="24"/>
          <w:highlight w:val="none"/>
          <w:u w:val="single"/>
        </w:rPr>
        <w:t xml:space="preserve"> 14</w:t>
      </w:r>
      <w:r>
        <w:rPr>
          <w:rFonts w:hint="eastAsia" w:ascii="宋体" w:hAnsi="宋体" w:eastAsia="宋体"/>
          <w:iCs/>
          <w:sz w:val="24"/>
          <w:szCs w:val="24"/>
          <w:highlight w:val="none"/>
        </w:rPr>
        <w:t xml:space="preserve">时 </w:t>
      </w:r>
      <w:r>
        <w:rPr>
          <w:rFonts w:hint="eastAsia" w:ascii="宋体" w:hAnsi="宋体" w:eastAsia="宋体"/>
          <w:iCs/>
          <w:sz w:val="24"/>
          <w:szCs w:val="24"/>
          <w:highlight w:val="none"/>
          <w:u w:val="single"/>
        </w:rPr>
        <w:t>30</w:t>
      </w:r>
      <w:r>
        <w:rPr>
          <w:rFonts w:hint="eastAsia" w:ascii="宋体" w:hAnsi="宋体" w:eastAsia="宋体"/>
          <w:iCs/>
          <w:sz w:val="24"/>
          <w:szCs w:val="24"/>
          <w:highlight w:val="none"/>
        </w:rPr>
        <w:t xml:space="preserve"> 分至</w:t>
      </w:r>
      <w:r>
        <w:rPr>
          <w:rFonts w:hint="eastAsia" w:ascii="宋体" w:hAnsi="宋体" w:eastAsia="宋体"/>
          <w:iCs/>
          <w:sz w:val="24"/>
          <w:szCs w:val="24"/>
          <w:highlight w:val="none"/>
          <w:u w:val="single"/>
        </w:rPr>
        <w:t xml:space="preserve"> 16</w:t>
      </w:r>
      <w:r>
        <w:rPr>
          <w:rFonts w:hint="eastAsia" w:ascii="宋体" w:hAnsi="宋体" w:eastAsia="宋体"/>
          <w:iCs/>
          <w:sz w:val="24"/>
          <w:szCs w:val="24"/>
          <w:highlight w:val="none"/>
        </w:rPr>
        <w:t xml:space="preserve">时 </w:t>
      </w:r>
      <w:r>
        <w:rPr>
          <w:rFonts w:hint="eastAsia" w:ascii="宋体" w:hAnsi="宋体" w:eastAsia="宋体"/>
          <w:iCs/>
          <w:sz w:val="24"/>
          <w:szCs w:val="24"/>
          <w:highlight w:val="none"/>
          <w:u w:val="single"/>
        </w:rPr>
        <w:t>30</w:t>
      </w:r>
      <w:r>
        <w:rPr>
          <w:rFonts w:hint="eastAsia" w:ascii="宋体" w:hAnsi="宋体" w:eastAsia="宋体"/>
          <w:iCs/>
          <w:sz w:val="24"/>
          <w:szCs w:val="24"/>
          <w:highlight w:val="none"/>
        </w:rPr>
        <w:t>分 (</w:t>
      </w:r>
      <w:r>
        <w:rPr>
          <w:rFonts w:ascii="宋体" w:hAnsi="宋体" w:eastAsia="宋体"/>
          <w:iCs/>
          <w:sz w:val="24"/>
          <w:szCs w:val="24"/>
          <w:highlight w:val="none"/>
        </w:rPr>
        <w:t>北京时间，下同），在</w:t>
      </w:r>
      <w:r>
        <w:rPr>
          <w:rFonts w:hint="eastAsia" w:ascii="宋体" w:hAnsi="宋体" w:eastAsia="宋体"/>
          <w:iCs/>
          <w:sz w:val="24"/>
          <w:szCs w:val="24"/>
          <w:highlight w:val="none"/>
        </w:rPr>
        <w:t>招标代理机构报名并</w:t>
      </w:r>
      <w:r>
        <w:rPr>
          <w:rFonts w:ascii="宋体" w:hAnsi="宋体" w:eastAsia="宋体"/>
          <w:iCs/>
          <w:sz w:val="24"/>
          <w:szCs w:val="24"/>
          <w:highlight w:val="none"/>
        </w:rPr>
        <w:t>购买招标文件</w:t>
      </w:r>
      <w:r>
        <w:rPr>
          <w:rFonts w:hint="eastAsia" w:ascii="宋体" w:hAnsi="宋体" w:eastAsia="宋体"/>
          <w:iCs/>
          <w:sz w:val="24"/>
          <w:szCs w:val="24"/>
          <w:highlight w:val="none"/>
        </w:rPr>
        <w:t>等资料</w:t>
      </w:r>
      <w:r>
        <w:rPr>
          <w:rFonts w:ascii="宋体" w:hAnsi="宋体" w:eastAsia="宋体"/>
          <w:iCs/>
          <w:sz w:val="24"/>
          <w:szCs w:val="24"/>
          <w:highlight w:val="none"/>
        </w:rPr>
        <w:t>。</w:t>
      </w:r>
    </w:p>
    <w:p w14:paraId="3B070DFA">
      <w:pPr>
        <w:snapToGrid w:val="0"/>
        <w:spacing w:line="460" w:lineRule="exact"/>
        <w:ind w:firstLine="560"/>
        <w:rPr>
          <w:rFonts w:ascii="宋体" w:hAnsi="宋体" w:eastAsia="宋体"/>
          <w:iCs/>
          <w:sz w:val="24"/>
          <w:szCs w:val="24"/>
          <w:highlight w:val="none"/>
        </w:rPr>
      </w:pPr>
      <w:r>
        <w:rPr>
          <w:rFonts w:ascii="宋体" w:hAnsi="宋体" w:eastAsia="宋体"/>
          <w:iCs/>
          <w:sz w:val="24"/>
          <w:szCs w:val="24"/>
          <w:highlight w:val="none"/>
        </w:rPr>
        <w:t>4.2</w:t>
      </w:r>
      <w:r>
        <w:rPr>
          <w:rFonts w:hint="eastAsia" w:ascii="宋体" w:hAnsi="宋体" w:eastAsia="宋体"/>
          <w:iCs/>
          <w:sz w:val="24"/>
          <w:szCs w:val="24"/>
          <w:highlight w:val="none"/>
        </w:rPr>
        <w:t>招标文件每套售价</w:t>
      </w:r>
      <w:r>
        <w:rPr>
          <w:rFonts w:hint="eastAsia" w:ascii="宋体" w:hAnsi="宋体" w:eastAsia="宋体"/>
          <w:iCs/>
          <w:sz w:val="24"/>
          <w:szCs w:val="24"/>
          <w:highlight w:val="none"/>
          <w:u w:val="single"/>
        </w:rPr>
        <w:t>300</w:t>
      </w:r>
      <w:r>
        <w:rPr>
          <w:rFonts w:hint="eastAsia" w:ascii="宋体" w:hAnsi="宋体" w:eastAsia="宋体"/>
          <w:iCs/>
          <w:sz w:val="24"/>
          <w:szCs w:val="24"/>
          <w:highlight w:val="none"/>
        </w:rPr>
        <w:t>元，售后不退。报名时提交以下资料：</w:t>
      </w:r>
    </w:p>
    <w:p w14:paraId="26C10BA5">
      <w:pPr>
        <w:snapToGrid w:val="0"/>
        <w:spacing w:line="460" w:lineRule="exact"/>
        <w:ind w:firstLine="960" w:firstLineChars="400"/>
        <w:rPr>
          <w:rStyle w:val="17"/>
          <w:rFonts w:ascii="宋体" w:hAnsi="宋体" w:eastAsia="宋体" w:cs="宋体"/>
          <w:sz w:val="24"/>
          <w:szCs w:val="24"/>
          <w:highlight w:val="none"/>
        </w:rPr>
      </w:pPr>
      <w:r>
        <w:rPr>
          <w:rFonts w:ascii="宋体" w:hAnsi="宋体" w:eastAsia="宋体"/>
          <w:iCs/>
          <w:sz w:val="24"/>
          <w:szCs w:val="24"/>
          <w:highlight w:val="none"/>
        </w:rPr>
        <w:t>4.2</w:t>
      </w:r>
      <w:r>
        <w:rPr>
          <w:rFonts w:hint="eastAsia" w:ascii="宋体" w:hAnsi="宋体" w:eastAsia="宋体"/>
          <w:iCs/>
          <w:sz w:val="24"/>
          <w:szCs w:val="24"/>
          <w:highlight w:val="none"/>
        </w:rPr>
        <w:t>.1、</w:t>
      </w:r>
      <w:r>
        <w:rPr>
          <w:rStyle w:val="17"/>
          <w:rFonts w:hint="eastAsia" w:ascii="宋体" w:hAnsi="宋体" w:eastAsia="宋体" w:cs="宋体"/>
          <w:sz w:val="24"/>
          <w:szCs w:val="24"/>
          <w:highlight w:val="none"/>
        </w:rPr>
        <w:t>本单位有效的营业执照副本、资质、安全生产许可证等扫描件；</w:t>
      </w:r>
    </w:p>
    <w:p w14:paraId="00D774CD">
      <w:pPr>
        <w:snapToGrid w:val="0"/>
        <w:spacing w:line="460" w:lineRule="exact"/>
        <w:ind w:firstLine="960" w:firstLineChars="400"/>
        <w:rPr>
          <w:rStyle w:val="17"/>
          <w:rFonts w:ascii="宋体" w:hAnsi="宋体" w:eastAsia="宋体" w:cs="宋体"/>
          <w:sz w:val="24"/>
          <w:szCs w:val="24"/>
          <w:highlight w:val="none"/>
        </w:rPr>
      </w:pPr>
      <w:r>
        <w:rPr>
          <w:rFonts w:ascii="宋体" w:hAnsi="宋体" w:eastAsia="宋体"/>
          <w:iCs/>
          <w:sz w:val="24"/>
          <w:szCs w:val="24"/>
          <w:highlight w:val="none"/>
        </w:rPr>
        <w:t>4.2</w:t>
      </w:r>
      <w:r>
        <w:rPr>
          <w:rFonts w:hint="eastAsia" w:ascii="宋体" w:hAnsi="宋体" w:eastAsia="宋体"/>
          <w:iCs/>
          <w:sz w:val="24"/>
          <w:szCs w:val="24"/>
          <w:highlight w:val="none"/>
        </w:rPr>
        <w:t>.</w:t>
      </w:r>
      <w:r>
        <w:rPr>
          <w:rFonts w:ascii="宋体" w:hAnsi="宋体" w:eastAsia="宋体"/>
          <w:iCs/>
          <w:sz w:val="24"/>
          <w:szCs w:val="24"/>
          <w:highlight w:val="none"/>
        </w:rPr>
        <w:t>2</w:t>
      </w:r>
      <w:r>
        <w:rPr>
          <w:rFonts w:hint="eastAsia" w:ascii="宋体" w:hAnsi="宋体" w:eastAsia="宋体"/>
          <w:iCs/>
          <w:sz w:val="24"/>
          <w:szCs w:val="24"/>
          <w:highlight w:val="none"/>
        </w:rPr>
        <w:t>、</w:t>
      </w:r>
      <w:r>
        <w:rPr>
          <w:rFonts w:hint="eastAsia" w:ascii="宋体" w:hAnsi="宋体" w:eastAsia="宋体" w:cs="宋体"/>
          <w:sz w:val="24"/>
          <w:szCs w:val="24"/>
          <w:highlight w:val="none"/>
        </w:rPr>
        <w:t>法定代表人授权委托书并加盖单位公章的原件扫描件</w:t>
      </w:r>
      <w:r>
        <w:rPr>
          <w:rStyle w:val="17"/>
          <w:rFonts w:hint="eastAsia" w:ascii="宋体" w:hAnsi="宋体" w:eastAsia="宋体" w:cs="宋体"/>
          <w:sz w:val="24"/>
          <w:szCs w:val="24"/>
          <w:highlight w:val="none"/>
        </w:rPr>
        <w:t>；</w:t>
      </w:r>
    </w:p>
    <w:p w14:paraId="1FD9DB48">
      <w:pPr>
        <w:snapToGrid w:val="0"/>
        <w:spacing w:line="460" w:lineRule="exact"/>
        <w:ind w:firstLine="960" w:firstLineChars="400"/>
        <w:rPr>
          <w:rStyle w:val="17"/>
          <w:rFonts w:ascii="宋体" w:hAnsi="宋体" w:eastAsia="宋体" w:cs="宋体"/>
          <w:sz w:val="24"/>
          <w:szCs w:val="24"/>
          <w:highlight w:val="none"/>
        </w:rPr>
      </w:pPr>
      <w:r>
        <w:rPr>
          <w:rFonts w:ascii="宋体" w:hAnsi="宋体" w:eastAsia="宋体"/>
          <w:iCs/>
          <w:sz w:val="24"/>
          <w:szCs w:val="24"/>
          <w:highlight w:val="none"/>
        </w:rPr>
        <w:t>4.2</w:t>
      </w:r>
      <w:r>
        <w:rPr>
          <w:rFonts w:hint="eastAsia" w:ascii="宋体" w:hAnsi="宋体" w:eastAsia="宋体"/>
          <w:iCs/>
          <w:sz w:val="24"/>
          <w:szCs w:val="24"/>
          <w:highlight w:val="none"/>
        </w:rPr>
        <w:t>.</w:t>
      </w:r>
      <w:r>
        <w:rPr>
          <w:rFonts w:ascii="宋体" w:hAnsi="宋体" w:eastAsia="宋体"/>
          <w:iCs/>
          <w:sz w:val="24"/>
          <w:szCs w:val="24"/>
          <w:highlight w:val="none"/>
        </w:rPr>
        <w:t>3</w:t>
      </w:r>
      <w:r>
        <w:rPr>
          <w:rFonts w:hint="eastAsia" w:ascii="宋体" w:hAnsi="宋体" w:eastAsia="宋体"/>
          <w:iCs/>
          <w:sz w:val="24"/>
          <w:szCs w:val="24"/>
          <w:highlight w:val="none"/>
        </w:rPr>
        <w:t>、</w:t>
      </w:r>
      <w:r>
        <w:rPr>
          <w:rFonts w:hint="eastAsia" w:ascii="宋体" w:hAnsi="宋体" w:eastAsia="宋体" w:cs="宋体"/>
          <w:sz w:val="24"/>
          <w:szCs w:val="24"/>
          <w:highlight w:val="none"/>
        </w:rPr>
        <w:t>法人及授权人身份证正反面</w:t>
      </w:r>
      <w:r>
        <w:rPr>
          <w:rStyle w:val="17"/>
          <w:rFonts w:hint="eastAsia" w:ascii="宋体" w:hAnsi="宋体" w:eastAsia="宋体" w:cs="宋体"/>
          <w:sz w:val="24"/>
          <w:szCs w:val="24"/>
          <w:highlight w:val="none"/>
        </w:rPr>
        <w:t>复印件并加盖单位公章的扫描件；</w:t>
      </w:r>
    </w:p>
    <w:p w14:paraId="6577BBC5">
      <w:pPr>
        <w:snapToGrid w:val="0"/>
        <w:spacing w:line="460" w:lineRule="exact"/>
        <w:ind w:firstLine="960" w:firstLineChars="400"/>
        <w:rPr>
          <w:rFonts w:ascii="宋体" w:hAnsi="宋体" w:eastAsia="宋体" w:cs="宋体"/>
          <w:sz w:val="24"/>
          <w:szCs w:val="24"/>
          <w:highlight w:val="none"/>
        </w:rPr>
      </w:pPr>
      <w:r>
        <w:rPr>
          <w:rFonts w:ascii="宋体" w:hAnsi="宋体" w:eastAsia="宋体"/>
          <w:iCs/>
          <w:sz w:val="24"/>
          <w:szCs w:val="24"/>
          <w:highlight w:val="none"/>
        </w:rPr>
        <w:t>4.2</w:t>
      </w:r>
      <w:r>
        <w:rPr>
          <w:rFonts w:hint="eastAsia" w:ascii="宋体" w:hAnsi="宋体" w:eastAsia="宋体"/>
          <w:iCs/>
          <w:sz w:val="24"/>
          <w:szCs w:val="24"/>
          <w:highlight w:val="none"/>
        </w:rPr>
        <w:t>.</w:t>
      </w:r>
      <w:r>
        <w:rPr>
          <w:rFonts w:ascii="宋体" w:hAnsi="宋体" w:eastAsia="宋体"/>
          <w:iCs/>
          <w:sz w:val="24"/>
          <w:szCs w:val="24"/>
          <w:highlight w:val="none"/>
        </w:rPr>
        <w:t>4</w:t>
      </w:r>
      <w:r>
        <w:rPr>
          <w:rFonts w:hint="eastAsia" w:ascii="宋体" w:hAnsi="宋体" w:eastAsia="宋体"/>
          <w:iCs/>
          <w:sz w:val="24"/>
          <w:szCs w:val="24"/>
          <w:highlight w:val="none"/>
        </w:rPr>
        <w:t>、</w:t>
      </w:r>
      <w:r>
        <w:rPr>
          <w:rFonts w:hint="eastAsia" w:ascii="宋体" w:hAnsi="宋体" w:eastAsia="宋体" w:cs="宋体"/>
          <w:sz w:val="24"/>
          <w:szCs w:val="24"/>
          <w:highlight w:val="none"/>
        </w:rPr>
        <w:t>报名费转帐凭证。</w:t>
      </w:r>
    </w:p>
    <w:p w14:paraId="4A360308">
      <w:pPr>
        <w:spacing w:line="460" w:lineRule="exact"/>
        <w:ind w:firstLine="960" w:firstLineChars="400"/>
        <w:rPr>
          <w:rFonts w:ascii="宋体" w:hAnsi="宋体" w:eastAsia="宋体"/>
          <w:iCs/>
          <w:sz w:val="24"/>
          <w:szCs w:val="24"/>
          <w:highlight w:val="none"/>
        </w:rPr>
      </w:pPr>
      <w:r>
        <w:rPr>
          <w:rFonts w:hint="eastAsia" w:ascii="宋体" w:hAnsi="宋体" w:eastAsia="宋体"/>
          <w:iCs/>
          <w:sz w:val="24"/>
          <w:szCs w:val="24"/>
          <w:highlight w:val="none"/>
        </w:rPr>
        <w:t>报名费收款账户名称：中通服供应链股份有限公司江西分公司</w:t>
      </w:r>
    </w:p>
    <w:p w14:paraId="49F2325C">
      <w:pPr>
        <w:spacing w:line="460" w:lineRule="exact"/>
        <w:ind w:firstLine="960" w:firstLineChars="400"/>
        <w:rPr>
          <w:rFonts w:ascii="宋体" w:hAnsi="宋体" w:eastAsia="宋体"/>
          <w:iCs/>
          <w:sz w:val="24"/>
          <w:szCs w:val="24"/>
          <w:highlight w:val="none"/>
        </w:rPr>
      </w:pPr>
      <w:r>
        <w:rPr>
          <w:rFonts w:hint="eastAsia" w:ascii="宋体" w:hAnsi="宋体" w:eastAsia="宋体"/>
          <w:iCs/>
          <w:sz w:val="24"/>
          <w:szCs w:val="24"/>
          <w:highlight w:val="none"/>
        </w:rPr>
        <w:t>开户行：中信银行广州珠江新城支行</w:t>
      </w:r>
    </w:p>
    <w:p w14:paraId="793306CB">
      <w:pPr>
        <w:spacing w:line="460" w:lineRule="exact"/>
        <w:ind w:firstLine="960" w:firstLineChars="400"/>
        <w:rPr>
          <w:rFonts w:ascii="宋体" w:hAnsi="宋体" w:eastAsia="宋体"/>
          <w:iCs/>
          <w:sz w:val="24"/>
          <w:szCs w:val="24"/>
          <w:highlight w:val="none"/>
        </w:rPr>
      </w:pPr>
      <w:r>
        <w:rPr>
          <w:rFonts w:hint="eastAsia" w:ascii="宋体" w:hAnsi="宋体" w:eastAsia="宋体"/>
          <w:iCs/>
          <w:sz w:val="24"/>
          <w:szCs w:val="24"/>
          <w:highlight w:val="none"/>
        </w:rPr>
        <w:t>账号：</w:t>
      </w:r>
      <w:r>
        <w:rPr>
          <w:rFonts w:ascii="宋体" w:hAnsi="宋体" w:eastAsia="宋体"/>
          <w:iCs/>
          <w:sz w:val="24"/>
          <w:szCs w:val="24"/>
          <w:highlight w:val="none"/>
        </w:rPr>
        <w:t>3110930015700006922</w:t>
      </w:r>
      <w:bookmarkStart w:id="23" w:name="_GoBack"/>
      <w:bookmarkEnd w:id="23"/>
    </w:p>
    <w:p w14:paraId="0A17723A">
      <w:pPr>
        <w:spacing w:line="460" w:lineRule="exact"/>
        <w:ind w:firstLine="562"/>
        <w:rPr>
          <w:rFonts w:ascii="宋体" w:hAnsi="宋体" w:eastAsia="宋体" w:cs="宋体"/>
          <w:b/>
          <w:sz w:val="24"/>
          <w:szCs w:val="24"/>
          <w:highlight w:val="none"/>
        </w:rPr>
      </w:pPr>
      <w:r>
        <w:rPr>
          <w:rFonts w:ascii="宋体" w:hAnsi="宋体" w:eastAsia="宋体"/>
          <w:iCs/>
          <w:sz w:val="24"/>
          <w:szCs w:val="24"/>
          <w:highlight w:val="none"/>
        </w:rPr>
        <w:t>4.</w:t>
      </w:r>
      <w:r>
        <w:rPr>
          <w:rStyle w:val="17"/>
          <w:rFonts w:ascii="宋体" w:hAnsi="宋体" w:eastAsia="宋体" w:cs="宋体"/>
          <w:sz w:val="24"/>
          <w:szCs w:val="24"/>
          <w:highlight w:val="none"/>
        </w:rPr>
        <w:t xml:space="preserve">3 </w:t>
      </w:r>
      <w:r>
        <w:rPr>
          <w:rStyle w:val="17"/>
          <w:rFonts w:hint="eastAsia" w:ascii="宋体" w:hAnsi="宋体" w:eastAsia="宋体" w:cs="宋体"/>
          <w:sz w:val="24"/>
          <w:szCs w:val="24"/>
          <w:highlight w:val="none"/>
        </w:rPr>
        <w:t>网上报名的</w:t>
      </w:r>
      <w:r>
        <w:rPr>
          <w:rFonts w:ascii="宋体" w:hAnsi="宋体" w:eastAsia="宋体"/>
          <w:iCs/>
          <w:sz w:val="24"/>
          <w:szCs w:val="24"/>
          <w:highlight w:val="none"/>
        </w:rPr>
        <w:t>投标</w:t>
      </w:r>
      <w:r>
        <w:rPr>
          <w:rFonts w:hint="eastAsia" w:ascii="宋体" w:hAnsi="宋体" w:eastAsia="宋体"/>
          <w:iCs/>
          <w:sz w:val="24"/>
          <w:szCs w:val="24"/>
          <w:highlight w:val="none"/>
        </w:rPr>
        <w:t>人</w:t>
      </w:r>
      <w:r>
        <w:rPr>
          <w:rStyle w:val="17"/>
          <w:rFonts w:hint="eastAsia" w:ascii="宋体" w:hAnsi="宋体" w:eastAsia="宋体" w:cs="宋体"/>
          <w:sz w:val="24"/>
          <w:szCs w:val="24"/>
          <w:highlight w:val="none"/>
        </w:rPr>
        <w:t>以招标代理机构指定邮箱（467036732@qq.com）接收到报名资料时间为准，报名资料未在规定的报名时间段发送到指定邮箱的视为报名不成功，将被拒绝参与本项目。</w:t>
      </w:r>
      <w:r>
        <w:rPr>
          <w:rFonts w:hint="eastAsia" w:ascii="宋体" w:hAnsi="宋体" w:eastAsia="宋体"/>
          <w:iCs/>
          <w:sz w:val="24"/>
          <w:szCs w:val="24"/>
          <w:highlight w:val="none"/>
        </w:rPr>
        <w:t>提交资料同上。</w:t>
      </w:r>
    </w:p>
    <w:p w14:paraId="20B4F797">
      <w:pPr>
        <w:pStyle w:val="4"/>
        <w:numPr>
          <w:ilvl w:val="0"/>
          <w:numId w:val="1"/>
        </w:numPr>
        <w:tabs>
          <w:tab w:val="left" w:pos="425"/>
        </w:tabs>
        <w:spacing w:before="0" w:after="0"/>
        <w:ind w:left="0" w:leftChars="0" w:firstLine="420" w:firstLineChars="0"/>
        <w:rPr>
          <w:rFonts w:hint="eastAsia" w:ascii="宋体" w:hAnsi="宋体" w:cs="宋体"/>
          <w:i w:val="0"/>
          <w:sz w:val="24"/>
          <w:szCs w:val="24"/>
          <w:highlight w:val="none"/>
        </w:rPr>
      </w:pPr>
      <w:r>
        <w:rPr>
          <w:rFonts w:hint="eastAsia" w:ascii="宋体" w:hAnsi="宋体" w:cs="宋体"/>
          <w:i w:val="0"/>
          <w:sz w:val="24"/>
          <w:szCs w:val="24"/>
          <w:highlight w:val="none"/>
        </w:rPr>
        <w:t>投标保证金</w:t>
      </w:r>
    </w:p>
    <w:p w14:paraId="4D03ECF2">
      <w:pPr>
        <w:adjustRightInd w:val="0"/>
        <w:snapToGrid w:val="0"/>
        <w:spacing w:line="360" w:lineRule="auto"/>
        <w:ind w:firstLine="480" w:firstLineChars="200"/>
        <w:jc w:val="left"/>
        <w:rPr>
          <w:rFonts w:ascii="宋体" w:hAnsi="宋体" w:eastAsia="宋体" w:cs="宋体"/>
          <w:color w:val="000000"/>
          <w:sz w:val="24"/>
          <w:szCs w:val="24"/>
          <w:highlight w:val="none"/>
        </w:rPr>
      </w:pPr>
      <w:bookmarkStart w:id="18" w:name="_Hlk107481271"/>
      <w:r>
        <w:rPr>
          <w:rFonts w:ascii="宋体" w:hAnsi="宋体" w:eastAsia="宋体" w:cs="宋体"/>
          <w:color w:val="000000"/>
          <w:sz w:val="24"/>
          <w:szCs w:val="24"/>
          <w:highlight w:val="none"/>
        </w:rPr>
        <w:t>投标保证金的金额：人民币</w:t>
      </w:r>
      <w:r>
        <w:rPr>
          <w:rFonts w:hint="eastAsia" w:ascii="宋体" w:hAnsi="宋体" w:eastAsia="宋体" w:cs="宋体"/>
          <w:color w:val="000000"/>
          <w:sz w:val="24"/>
          <w:szCs w:val="24"/>
          <w:highlight w:val="none"/>
        </w:rPr>
        <w:t>贰</w:t>
      </w:r>
      <w:r>
        <w:rPr>
          <w:rFonts w:ascii="宋体" w:hAnsi="宋体" w:eastAsia="宋体" w:cs="宋体"/>
          <w:color w:val="000000"/>
          <w:sz w:val="24"/>
          <w:szCs w:val="24"/>
          <w:highlight w:val="none"/>
        </w:rPr>
        <w:t>万元整</w:t>
      </w:r>
      <w:r>
        <w:rPr>
          <w:rFonts w:hint="eastAsia" w:ascii="宋体" w:hAnsi="宋体" w:eastAsia="宋体" w:cs="宋体"/>
          <w:color w:val="000000"/>
          <w:sz w:val="24"/>
          <w:szCs w:val="24"/>
          <w:highlight w:val="none"/>
        </w:rPr>
        <w:t>。</w:t>
      </w:r>
      <w:r>
        <w:rPr>
          <w:rFonts w:ascii="宋体" w:hAnsi="宋体" w:eastAsia="宋体" w:cs="宋体"/>
          <w:color w:val="000000"/>
          <w:sz w:val="24"/>
          <w:szCs w:val="24"/>
          <w:highlight w:val="none"/>
        </w:rPr>
        <w:t xml:space="preserve"> </w:t>
      </w:r>
    </w:p>
    <w:bookmarkEnd w:id="18"/>
    <w:p w14:paraId="464DA905">
      <w:pPr>
        <w:adjustRightInd w:val="0"/>
        <w:snapToGrid w:val="0"/>
        <w:spacing w:line="360" w:lineRule="auto"/>
        <w:ind w:firstLine="480" w:firstLineChars="200"/>
        <w:jc w:val="left"/>
        <w:rPr>
          <w:rFonts w:ascii="宋体" w:hAnsi="宋体" w:eastAsia="宋体" w:cs="宋体"/>
          <w:color w:val="000000"/>
          <w:sz w:val="24"/>
          <w:szCs w:val="24"/>
          <w:highlight w:val="none"/>
        </w:rPr>
      </w:pPr>
      <w:r>
        <w:rPr>
          <w:rFonts w:ascii="宋体" w:hAnsi="宋体" w:eastAsia="宋体" w:cs="宋体"/>
          <w:color w:val="000000"/>
          <w:sz w:val="24"/>
          <w:szCs w:val="24"/>
          <w:highlight w:val="none"/>
        </w:rPr>
        <w:t>形式：银行电汇或者网银（公对公转账形式）直接缴入提供的账户</w:t>
      </w:r>
      <w:r>
        <w:rPr>
          <w:rFonts w:hint="eastAsia" w:ascii="宋体" w:hAnsi="宋体" w:eastAsia="宋体" w:cs="宋体"/>
          <w:color w:val="000000"/>
          <w:sz w:val="24"/>
          <w:szCs w:val="24"/>
          <w:highlight w:val="none"/>
        </w:rPr>
        <w:t>；或提供银行出具的保函（检索即付）</w:t>
      </w:r>
      <w:r>
        <w:rPr>
          <w:rFonts w:ascii="宋体" w:hAnsi="宋体" w:eastAsia="宋体" w:cs="宋体"/>
          <w:color w:val="000000"/>
          <w:sz w:val="24"/>
          <w:szCs w:val="24"/>
          <w:highlight w:val="none"/>
        </w:rPr>
        <w:t xml:space="preserve"> </w:t>
      </w:r>
    </w:p>
    <w:p w14:paraId="2A5837D3">
      <w:pPr>
        <w:adjustRightInd w:val="0"/>
        <w:snapToGrid w:val="0"/>
        <w:spacing w:line="360" w:lineRule="auto"/>
        <w:ind w:firstLine="480" w:firstLineChars="200"/>
        <w:jc w:val="left"/>
        <w:rPr>
          <w:rFonts w:ascii="宋体" w:hAnsi="宋体" w:eastAsia="宋体" w:cs="宋体"/>
          <w:color w:val="000000"/>
          <w:sz w:val="24"/>
          <w:szCs w:val="24"/>
          <w:highlight w:val="none"/>
        </w:rPr>
      </w:pPr>
      <w:r>
        <w:rPr>
          <w:rFonts w:ascii="宋体" w:hAnsi="宋体" w:eastAsia="宋体" w:cs="宋体"/>
          <w:color w:val="000000"/>
          <w:sz w:val="24"/>
          <w:szCs w:val="24"/>
          <w:highlight w:val="none"/>
        </w:rPr>
        <w:t>提交截止时间：2024年</w:t>
      </w:r>
      <w:r>
        <w:rPr>
          <w:rFonts w:hint="eastAsia" w:ascii="宋体" w:hAnsi="宋体" w:eastAsia="宋体" w:cs="宋体"/>
          <w:color w:val="000000"/>
          <w:sz w:val="24"/>
          <w:szCs w:val="24"/>
          <w:highlight w:val="none"/>
        </w:rPr>
        <w:t>9</w:t>
      </w:r>
      <w:r>
        <w:rPr>
          <w:rFonts w:ascii="宋体" w:hAnsi="宋体" w:eastAsia="宋体" w:cs="宋体"/>
          <w:color w:val="000000"/>
          <w:sz w:val="24"/>
          <w:szCs w:val="24"/>
          <w:highlight w:val="none"/>
        </w:rPr>
        <w:t>月</w:t>
      </w:r>
      <w:r>
        <w:rPr>
          <w:rFonts w:hint="eastAsia" w:ascii="宋体" w:hAnsi="宋体" w:eastAsia="宋体" w:cs="宋体"/>
          <w:color w:val="000000"/>
          <w:sz w:val="24"/>
          <w:szCs w:val="24"/>
          <w:highlight w:val="none"/>
          <w:lang w:val="en-US" w:eastAsia="zh-CN"/>
        </w:rPr>
        <w:t>30</w:t>
      </w:r>
      <w:r>
        <w:rPr>
          <w:rFonts w:ascii="宋体" w:hAnsi="宋体" w:eastAsia="宋体" w:cs="宋体"/>
          <w:color w:val="000000"/>
          <w:sz w:val="24"/>
          <w:szCs w:val="24"/>
          <w:highlight w:val="none"/>
        </w:rPr>
        <w:t>日</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w:t>
      </w:r>
      <w:r>
        <w:rPr>
          <w:rFonts w:ascii="宋体" w:hAnsi="宋体" w:eastAsia="宋体" w:cs="宋体"/>
          <w:color w:val="000000"/>
          <w:sz w:val="24"/>
          <w:szCs w:val="24"/>
          <w:highlight w:val="none"/>
        </w:rPr>
        <w:t>00 前（北京时间，以资金到账时间为准）。</w:t>
      </w:r>
    </w:p>
    <w:p w14:paraId="24BDB386">
      <w:pPr>
        <w:adjustRightInd w:val="0"/>
        <w:snapToGrid w:val="0"/>
        <w:spacing w:line="360" w:lineRule="auto"/>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开户单位（收款人）：庐山市西牯岭新材料有限公司</w:t>
      </w:r>
    </w:p>
    <w:p w14:paraId="65DCDED7">
      <w:pPr>
        <w:adjustRightInd w:val="0"/>
        <w:snapToGrid w:val="0"/>
        <w:spacing w:line="360" w:lineRule="auto"/>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开户银行：中国农业银行庐山市支行</w:t>
      </w:r>
    </w:p>
    <w:p w14:paraId="502BE0BF">
      <w:pPr>
        <w:adjustRightInd w:val="0"/>
        <w:snapToGrid w:val="0"/>
        <w:spacing w:line="360" w:lineRule="auto"/>
        <w:ind w:firstLine="480" w:firstLineChars="20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账号：1434 8101 0400 22912</w:t>
      </w:r>
    </w:p>
    <w:bookmarkEnd w:id="13"/>
    <w:bookmarkEnd w:id="14"/>
    <w:bookmarkEnd w:id="15"/>
    <w:p w14:paraId="4A7A03FE">
      <w:pPr>
        <w:pStyle w:val="4"/>
        <w:numPr>
          <w:ilvl w:val="0"/>
          <w:numId w:val="1"/>
        </w:numPr>
        <w:tabs>
          <w:tab w:val="left" w:pos="425"/>
        </w:tabs>
        <w:spacing w:before="0" w:after="0"/>
        <w:ind w:left="0" w:leftChars="0" w:firstLine="420" w:firstLineChars="0"/>
        <w:rPr>
          <w:rFonts w:hint="eastAsia" w:ascii="宋体" w:hAnsi="宋体" w:cs="宋体"/>
          <w:i w:val="0"/>
          <w:sz w:val="24"/>
          <w:szCs w:val="24"/>
          <w:highlight w:val="none"/>
        </w:rPr>
      </w:pPr>
      <w:bookmarkStart w:id="19" w:name="_Toc241901985"/>
      <w:bookmarkStart w:id="20" w:name="_Toc241902814"/>
      <w:r>
        <w:rPr>
          <w:rFonts w:hint="eastAsia" w:ascii="宋体" w:hAnsi="宋体" w:cs="宋体"/>
          <w:i w:val="0"/>
          <w:sz w:val="24"/>
          <w:szCs w:val="24"/>
          <w:highlight w:val="none"/>
        </w:rPr>
        <w:t>投标文件的递交</w:t>
      </w:r>
      <w:bookmarkEnd w:id="19"/>
      <w:bookmarkEnd w:id="20"/>
    </w:p>
    <w:p w14:paraId="6DA343AE">
      <w:pPr>
        <w:adjustRightInd w:val="0"/>
        <w:spacing w:line="460" w:lineRule="exact"/>
        <w:ind w:firstLine="480" w:firstLineChars="200"/>
        <w:rPr>
          <w:rFonts w:ascii="宋体" w:hAnsi="宋体" w:eastAsia="宋体"/>
          <w:iCs/>
          <w:sz w:val="24"/>
          <w:szCs w:val="24"/>
          <w:highlight w:val="none"/>
          <w:vertAlign w:val="superscript"/>
        </w:rPr>
      </w:pPr>
      <w:r>
        <w:rPr>
          <w:rFonts w:hint="eastAsia" w:ascii="宋体" w:hAnsi="宋体" w:eastAsia="宋体"/>
          <w:iCs/>
          <w:sz w:val="24"/>
          <w:szCs w:val="24"/>
          <w:highlight w:val="none"/>
        </w:rPr>
        <w:t>6</w:t>
      </w:r>
      <w:r>
        <w:rPr>
          <w:rFonts w:ascii="宋体" w:hAnsi="宋体" w:eastAsia="宋体"/>
          <w:iCs/>
          <w:sz w:val="24"/>
          <w:szCs w:val="24"/>
          <w:highlight w:val="none"/>
        </w:rPr>
        <w:t>.1</w:t>
      </w:r>
      <w:bookmarkStart w:id="21" w:name="EBb62f684665db4e7f99577a04d161e542"/>
      <w:r>
        <w:rPr>
          <w:rFonts w:hint="eastAsia" w:ascii="宋体" w:hAnsi="宋体" w:eastAsia="宋体"/>
          <w:iCs/>
          <w:sz w:val="24"/>
          <w:szCs w:val="24"/>
          <w:highlight w:val="none"/>
        </w:rPr>
        <w:t>招标人将不组织</w:t>
      </w:r>
      <w:bookmarkEnd w:id="21"/>
      <w:r>
        <w:rPr>
          <w:rFonts w:hint="eastAsia" w:ascii="宋体" w:hAnsi="宋体" w:eastAsia="宋体"/>
          <w:iCs/>
          <w:sz w:val="24"/>
          <w:szCs w:val="24"/>
          <w:highlight w:val="none"/>
        </w:rPr>
        <w:t>进行工程现场踏勘和投标预备会。</w:t>
      </w:r>
    </w:p>
    <w:p w14:paraId="67050C7B">
      <w:pPr>
        <w:spacing w:line="460" w:lineRule="exact"/>
        <w:ind w:firstLine="480" w:firstLineChars="200"/>
        <w:rPr>
          <w:rStyle w:val="17"/>
          <w:rFonts w:ascii="宋体" w:hAnsi="宋体" w:eastAsia="宋体"/>
          <w:sz w:val="24"/>
          <w:szCs w:val="24"/>
          <w:highlight w:val="none"/>
        </w:rPr>
      </w:pPr>
      <w:r>
        <w:rPr>
          <w:rFonts w:hint="eastAsia" w:ascii="宋体" w:hAnsi="宋体" w:eastAsia="宋体"/>
          <w:iCs/>
          <w:sz w:val="24"/>
          <w:szCs w:val="24"/>
          <w:highlight w:val="none"/>
        </w:rPr>
        <w:t>6.2投标文件递交的截止时间（投标截止时间，下同）为</w:t>
      </w:r>
      <w:bookmarkStart w:id="22" w:name="EBdb1914cad18e42b685a1287b86f08e51"/>
      <w:r>
        <w:rPr>
          <w:rFonts w:hint="eastAsia" w:ascii="宋体" w:hAnsi="宋体" w:eastAsia="宋体"/>
          <w:iCs/>
          <w:sz w:val="24"/>
          <w:szCs w:val="24"/>
          <w:highlight w:val="none"/>
          <w:u w:val="single"/>
        </w:rPr>
        <w:t xml:space="preserve">2024年 </w:t>
      </w:r>
      <w:r>
        <w:rPr>
          <w:rFonts w:hint="eastAsia" w:ascii="宋体" w:hAnsi="宋体" w:eastAsia="宋体"/>
          <w:iCs/>
          <w:sz w:val="24"/>
          <w:szCs w:val="24"/>
          <w:highlight w:val="none"/>
          <w:u w:val="single"/>
          <w:lang w:val="en-US" w:eastAsia="zh-CN"/>
        </w:rPr>
        <w:t>9</w:t>
      </w:r>
      <w:r>
        <w:rPr>
          <w:rFonts w:hint="eastAsia" w:ascii="宋体" w:hAnsi="宋体" w:eastAsia="宋体"/>
          <w:iCs/>
          <w:sz w:val="24"/>
          <w:szCs w:val="24"/>
          <w:highlight w:val="none"/>
          <w:u w:val="single"/>
        </w:rPr>
        <w:t xml:space="preserve"> 月 </w:t>
      </w:r>
      <w:r>
        <w:rPr>
          <w:rFonts w:hint="eastAsia" w:ascii="宋体" w:hAnsi="宋体" w:eastAsia="宋体"/>
          <w:iCs/>
          <w:sz w:val="24"/>
          <w:szCs w:val="24"/>
          <w:highlight w:val="none"/>
          <w:u w:val="single"/>
          <w:lang w:val="en-US" w:eastAsia="zh-CN"/>
        </w:rPr>
        <w:t>30</w:t>
      </w:r>
      <w:r>
        <w:rPr>
          <w:rFonts w:hint="eastAsia" w:ascii="宋体" w:hAnsi="宋体" w:eastAsia="宋体"/>
          <w:iCs/>
          <w:sz w:val="24"/>
          <w:szCs w:val="24"/>
          <w:highlight w:val="none"/>
          <w:u w:val="single"/>
        </w:rPr>
        <w:t xml:space="preserve"> 日</w:t>
      </w:r>
      <w:r>
        <w:rPr>
          <w:rFonts w:hint="eastAsia" w:ascii="宋体" w:hAnsi="宋体" w:eastAsia="宋体"/>
          <w:iCs/>
          <w:sz w:val="24"/>
          <w:szCs w:val="24"/>
          <w:highlight w:val="none"/>
          <w:u w:val="single"/>
          <w:lang w:val="en-US" w:eastAsia="zh-CN"/>
        </w:rPr>
        <w:t>10</w:t>
      </w:r>
      <w:r>
        <w:rPr>
          <w:rFonts w:hint="eastAsia" w:ascii="宋体" w:hAnsi="宋体" w:eastAsia="宋体"/>
          <w:iCs/>
          <w:sz w:val="24"/>
          <w:szCs w:val="24"/>
          <w:highlight w:val="none"/>
          <w:u w:val="single"/>
        </w:rPr>
        <w:t>:</w:t>
      </w:r>
      <w:r>
        <w:rPr>
          <w:rFonts w:hint="eastAsia" w:ascii="宋体" w:hAnsi="宋体" w:eastAsia="宋体"/>
          <w:iCs/>
          <w:sz w:val="24"/>
          <w:szCs w:val="24"/>
          <w:highlight w:val="none"/>
          <w:u w:val="single"/>
          <w:lang w:val="en-US" w:eastAsia="zh-CN"/>
        </w:rPr>
        <w:t>0</w:t>
      </w:r>
      <w:r>
        <w:rPr>
          <w:rFonts w:hint="eastAsia" w:ascii="宋体" w:hAnsi="宋体" w:eastAsia="宋体"/>
          <w:iCs/>
          <w:sz w:val="24"/>
          <w:szCs w:val="24"/>
          <w:highlight w:val="none"/>
          <w:u w:val="single"/>
        </w:rPr>
        <w:t>0</w:t>
      </w:r>
      <w:bookmarkEnd w:id="22"/>
      <w:r>
        <w:rPr>
          <w:rFonts w:hint="eastAsia" w:ascii="宋体" w:hAnsi="宋体" w:eastAsia="宋体"/>
          <w:iCs/>
          <w:sz w:val="24"/>
          <w:szCs w:val="24"/>
          <w:highlight w:val="none"/>
          <w:u w:val="single"/>
        </w:rPr>
        <w:t>，</w:t>
      </w:r>
      <w:r>
        <w:rPr>
          <w:rFonts w:hint="eastAsia" w:ascii="宋体" w:hAnsi="宋体" w:eastAsia="宋体"/>
          <w:iCs/>
          <w:sz w:val="24"/>
          <w:szCs w:val="24"/>
          <w:highlight w:val="none"/>
        </w:rPr>
        <w:t xml:space="preserve">投标人应于投标截止时间前将投标文件递交至江西省庐山市星子镇石材产业园蓼花池路江西天然石业有限公司办公楼三楼庐山市西牯岭新材料有限公司, </w:t>
      </w:r>
      <w:r>
        <w:rPr>
          <w:rFonts w:hint="eastAsia" w:ascii="宋体" w:hAnsi="宋体" w:eastAsia="宋体"/>
          <w:iCs/>
          <w:highlight w:val="none"/>
        </w:rPr>
        <w:t>收件人：范和冲17396245168。</w:t>
      </w:r>
      <w:r>
        <w:rPr>
          <w:rFonts w:hint="eastAsia" w:ascii="宋体" w:hAnsi="宋体" w:eastAsia="宋体"/>
          <w:iCs/>
          <w:sz w:val="24"/>
          <w:szCs w:val="24"/>
          <w:highlight w:val="none"/>
        </w:rPr>
        <w:t>如投标人委派授权代表将投标文件送至指定地点的，则必须提供法定代表人授权委托书原件，与投标文件一并递交。</w:t>
      </w:r>
    </w:p>
    <w:p w14:paraId="0CBDE3C3">
      <w:pPr>
        <w:adjustRightInd w:val="0"/>
        <w:spacing w:line="460" w:lineRule="exact"/>
        <w:ind w:firstLine="480" w:firstLineChars="200"/>
        <w:rPr>
          <w:rFonts w:ascii="宋体" w:hAnsi="宋体" w:eastAsia="宋体"/>
          <w:iCs/>
          <w:sz w:val="24"/>
          <w:szCs w:val="24"/>
          <w:highlight w:val="none"/>
        </w:rPr>
      </w:pPr>
      <w:r>
        <w:rPr>
          <w:rFonts w:hint="eastAsia" w:ascii="宋体" w:hAnsi="宋体" w:eastAsia="宋体"/>
          <w:iCs/>
          <w:sz w:val="24"/>
          <w:szCs w:val="24"/>
          <w:highlight w:val="none"/>
        </w:rPr>
        <w:t>6</w:t>
      </w:r>
      <w:r>
        <w:rPr>
          <w:rFonts w:ascii="宋体" w:hAnsi="宋体" w:eastAsia="宋体"/>
          <w:iCs/>
          <w:sz w:val="24"/>
          <w:szCs w:val="24"/>
          <w:highlight w:val="none"/>
        </w:rPr>
        <w:t>.</w:t>
      </w:r>
      <w:r>
        <w:rPr>
          <w:rFonts w:hint="eastAsia" w:ascii="宋体" w:hAnsi="宋体" w:eastAsia="宋体"/>
          <w:iCs/>
          <w:sz w:val="24"/>
          <w:szCs w:val="24"/>
          <w:highlight w:val="none"/>
        </w:rPr>
        <w:t>3</w:t>
      </w:r>
      <w:r>
        <w:rPr>
          <w:rFonts w:ascii="宋体" w:hAnsi="宋体" w:eastAsia="宋体"/>
          <w:iCs/>
          <w:sz w:val="24"/>
          <w:szCs w:val="24"/>
          <w:highlight w:val="none"/>
        </w:rPr>
        <w:t xml:space="preserve">  </w:t>
      </w:r>
      <w:r>
        <w:rPr>
          <w:rFonts w:hint="eastAsia" w:ascii="宋体" w:hAnsi="宋体" w:eastAsia="宋体"/>
          <w:iCs/>
          <w:sz w:val="24"/>
          <w:szCs w:val="24"/>
          <w:highlight w:val="none"/>
        </w:rPr>
        <w:t>逾期到达或者未送达的投标文件不予受理</w:t>
      </w:r>
      <w:r>
        <w:rPr>
          <w:rFonts w:ascii="宋体" w:hAnsi="宋体" w:eastAsia="宋体"/>
          <w:iCs/>
          <w:sz w:val="24"/>
          <w:szCs w:val="24"/>
          <w:highlight w:val="none"/>
        </w:rPr>
        <w:t>。</w:t>
      </w:r>
    </w:p>
    <w:p w14:paraId="61D8C7B1">
      <w:pPr>
        <w:pStyle w:val="4"/>
        <w:numPr>
          <w:ilvl w:val="0"/>
          <w:numId w:val="1"/>
        </w:numPr>
        <w:tabs>
          <w:tab w:val="left" w:pos="425"/>
        </w:tabs>
        <w:spacing w:before="0" w:after="0"/>
        <w:ind w:left="0" w:leftChars="0" w:firstLine="420" w:firstLineChars="0"/>
        <w:rPr>
          <w:rFonts w:hint="eastAsia" w:ascii="宋体" w:hAnsi="宋体" w:cs="宋体"/>
          <w:i w:val="0"/>
          <w:sz w:val="24"/>
          <w:szCs w:val="24"/>
          <w:highlight w:val="none"/>
        </w:rPr>
      </w:pPr>
      <w:r>
        <w:rPr>
          <w:rFonts w:hint="eastAsia" w:ascii="宋体" w:hAnsi="宋体" w:cs="宋体"/>
          <w:i w:val="0"/>
          <w:sz w:val="24"/>
          <w:szCs w:val="24"/>
          <w:highlight w:val="none"/>
        </w:rPr>
        <w:t>发布公告的媒介：</w:t>
      </w:r>
    </w:p>
    <w:p w14:paraId="5235CE87">
      <w:pPr>
        <w:spacing w:line="460" w:lineRule="exact"/>
        <w:ind w:firstLine="480" w:firstLineChars="200"/>
        <w:jc w:val="left"/>
        <w:rPr>
          <w:rFonts w:ascii="宋体" w:hAnsi="宋体" w:eastAsia="宋体" w:cs="Arial"/>
          <w:sz w:val="24"/>
          <w:szCs w:val="28"/>
          <w:highlight w:val="none"/>
        </w:rPr>
      </w:pPr>
      <w:r>
        <w:rPr>
          <w:rFonts w:hint="eastAsia" w:ascii="宋体" w:hAnsi="宋体" w:eastAsia="宋体" w:cs="Arial"/>
          <w:sz w:val="24"/>
          <w:szCs w:val="28"/>
          <w:highlight w:val="none"/>
        </w:rPr>
        <w:t>国贸网站（</w:t>
      </w:r>
      <w:r>
        <w:rPr>
          <w:highlight w:val="none"/>
        </w:rPr>
        <w:fldChar w:fldCharType="begin"/>
      </w:r>
      <w:r>
        <w:rPr>
          <w:highlight w:val="none"/>
        </w:rPr>
        <w:instrText xml:space="preserve"> HYPERLINK "http://www.itg.com.cn" </w:instrText>
      </w:r>
      <w:r>
        <w:rPr>
          <w:highlight w:val="none"/>
        </w:rPr>
        <w:fldChar w:fldCharType="separate"/>
      </w:r>
      <w:r>
        <w:rPr>
          <w:rStyle w:val="9"/>
          <w:rFonts w:hint="eastAsia" w:ascii="宋体" w:hAnsi="宋体" w:eastAsia="宋体" w:cs="Arial"/>
          <w:sz w:val="24"/>
          <w:szCs w:val="28"/>
          <w:highlight w:val="none"/>
        </w:rPr>
        <w:t>http://www.itg.com.cn</w:t>
      </w:r>
      <w:r>
        <w:rPr>
          <w:rStyle w:val="9"/>
          <w:rFonts w:hint="eastAsia" w:ascii="宋体" w:hAnsi="宋体" w:eastAsia="宋体" w:cs="Arial"/>
          <w:sz w:val="24"/>
          <w:szCs w:val="28"/>
          <w:highlight w:val="none"/>
        </w:rPr>
        <w:fldChar w:fldCharType="end"/>
      </w:r>
      <w:r>
        <w:rPr>
          <w:rFonts w:hint="eastAsia" w:ascii="宋体" w:hAnsi="宋体" w:eastAsia="宋体" w:cs="Arial"/>
          <w:sz w:val="24"/>
          <w:szCs w:val="28"/>
          <w:highlight w:val="none"/>
        </w:rPr>
        <w:t>）、中国采购与招标网（https://www.chinabidding.cn/public/2020/html/channel.html?channel_id=7）上发布公告。</w:t>
      </w:r>
    </w:p>
    <w:p w14:paraId="676C777C">
      <w:pPr>
        <w:pStyle w:val="4"/>
        <w:numPr>
          <w:ilvl w:val="0"/>
          <w:numId w:val="1"/>
        </w:numPr>
        <w:tabs>
          <w:tab w:val="left" w:pos="425"/>
        </w:tabs>
        <w:spacing w:before="0" w:after="0"/>
        <w:ind w:left="0" w:leftChars="0" w:firstLine="420" w:firstLineChars="0"/>
        <w:rPr>
          <w:rFonts w:hint="eastAsia" w:ascii="宋体" w:hAnsi="宋体" w:cs="宋体"/>
          <w:i w:val="0"/>
          <w:sz w:val="24"/>
          <w:szCs w:val="24"/>
          <w:highlight w:val="none"/>
        </w:rPr>
      </w:pPr>
      <w:r>
        <w:rPr>
          <w:rFonts w:hint="eastAsia" w:ascii="宋体" w:hAnsi="宋体" w:cs="宋体"/>
          <w:i w:val="0"/>
          <w:sz w:val="24"/>
          <w:szCs w:val="24"/>
          <w:highlight w:val="none"/>
        </w:rPr>
        <w:t>联系方式</w:t>
      </w:r>
    </w:p>
    <w:p w14:paraId="42F29145">
      <w:pPr>
        <w:spacing w:line="460" w:lineRule="exact"/>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w:t>
      </w:r>
      <w:r>
        <w:rPr>
          <w:rFonts w:hint="eastAsia" w:ascii="宋体" w:hAnsi="宋体" w:eastAsia="宋体" w:cs="宋体"/>
          <w:sz w:val="24"/>
          <w:szCs w:val="24"/>
          <w:highlight w:val="none"/>
        </w:rPr>
        <w:t>招标人：庐山市西牯岭新材料有限公司</w:t>
      </w:r>
    </w:p>
    <w:p w14:paraId="6AEF90F3">
      <w:pPr>
        <w:spacing w:line="460" w:lineRule="exact"/>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color w:val="000000"/>
          <w:sz w:val="24"/>
          <w:szCs w:val="24"/>
          <w:highlight w:val="none"/>
        </w:rPr>
        <w:t>江西省庐山市星子镇石材产业园蓼花池路江西天然石业有限公司办公楼三楼庐山市西牯岭新材料有限公司</w:t>
      </w:r>
      <w:r>
        <w:rPr>
          <w:rFonts w:hint="eastAsia" w:ascii="宋体" w:hAnsi="宋体" w:eastAsia="宋体" w:cs="宋体"/>
          <w:sz w:val="24"/>
          <w:szCs w:val="24"/>
          <w:highlight w:val="none"/>
        </w:rPr>
        <w:t xml:space="preserve">  </w:t>
      </w:r>
    </w:p>
    <w:p w14:paraId="6BB3613C">
      <w:pPr>
        <w:spacing w:line="460" w:lineRule="exact"/>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项目业务联系人：李其学 电话  18738359585</w:t>
      </w:r>
      <w:r>
        <w:rPr>
          <w:rFonts w:hint="eastAsia" w:ascii="宋体" w:hAnsi="宋体" w:eastAsia="宋体" w:cs="宋体"/>
          <w:sz w:val="24"/>
          <w:szCs w:val="24"/>
          <w:highlight w:val="none"/>
        </w:rPr>
        <w:t xml:space="preserve">  </w:t>
      </w:r>
    </w:p>
    <w:p w14:paraId="7D7AE7BC">
      <w:pPr>
        <w:spacing w:line="460" w:lineRule="exact"/>
        <w:ind w:firstLine="1680" w:firstLineChars="700"/>
        <w:rPr>
          <w:rStyle w:val="17"/>
          <w:rFonts w:ascii="宋体" w:hAnsi="宋体" w:eastAsia="宋体"/>
          <w:sz w:val="24"/>
          <w:szCs w:val="24"/>
          <w:highlight w:val="none"/>
        </w:rPr>
      </w:pPr>
      <w:r>
        <w:rPr>
          <w:rStyle w:val="17"/>
          <w:rFonts w:hint="eastAsia" w:ascii="宋体" w:hAnsi="宋体" w:eastAsia="宋体"/>
          <w:sz w:val="24"/>
          <w:szCs w:val="24"/>
          <w:highlight w:val="none"/>
        </w:rPr>
        <w:t>投标联系人：范和冲</w:t>
      </w:r>
      <w:r>
        <w:rPr>
          <w:rFonts w:hint="eastAsia" w:ascii="宋体" w:hAnsi="宋体" w:eastAsia="宋体" w:cs="宋体"/>
          <w:sz w:val="24"/>
          <w:szCs w:val="24"/>
          <w:highlight w:val="none"/>
        </w:rPr>
        <w:t xml:space="preserve">  电话：</w:t>
      </w:r>
      <w:r>
        <w:rPr>
          <w:rStyle w:val="17"/>
          <w:rFonts w:hint="eastAsia" w:ascii="宋体" w:hAnsi="宋体" w:eastAsia="宋体"/>
          <w:sz w:val="24"/>
          <w:szCs w:val="24"/>
          <w:highlight w:val="none"/>
        </w:rPr>
        <w:t>17396245168</w:t>
      </w:r>
    </w:p>
    <w:p w14:paraId="516F07BC">
      <w:pPr>
        <w:spacing w:line="460" w:lineRule="exact"/>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w:t>
      </w:r>
      <w:r>
        <w:rPr>
          <w:rFonts w:hint="eastAsia" w:ascii="宋体" w:hAnsi="宋体" w:eastAsia="宋体" w:cs="宋体"/>
          <w:sz w:val="24"/>
          <w:szCs w:val="24"/>
          <w:highlight w:val="none"/>
        </w:rPr>
        <w:t>招标代理机构名称:中通服供应链股份有限公司</w:t>
      </w:r>
    </w:p>
    <w:p w14:paraId="1DF27C81">
      <w:pPr>
        <w:spacing w:line="460" w:lineRule="exact"/>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rPr>
        <w:t>详细地址:江西省南昌市丁公路38号</w:t>
      </w:r>
    </w:p>
    <w:p w14:paraId="71628C46">
      <w:pPr>
        <w:spacing w:line="460" w:lineRule="exact"/>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rPr>
        <w:t>联系人：熊可欣         电　话：18779118413</w:t>
      </w:r>
    </w:p>
    <w:p w14:paraId="29604B10">
      <w:pPr>
        <w:spacing w:line="460" w:lineRule="exact"/>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rPr>
        <w:t>帐户名称：中通服供应链股份有限公司江西分公司</w:t>
      </w:r>
    </w:p>
    <w:p w14:paraId="41C2D1F8">
      <w:pPr>
        <w:spacing w:line="460" w:lineRule="exact"/>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rPr>
        <w:t xml:space="preserve">开户银行：中信银行广州珠江新城支行              </w:t>
      </w:r>
    </w:p>
    <w:p w14:paraId="00CAC8D1">
      <w:pPr>
        <w:spacing w:line="460" w:lineRule="exact"/>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rPr>
        <w:t>银行账号：</w:t>
      </w:r>
      <w:r>
        <w:rPr>
          <w:rFonts w:ascii="宋体" w:hAnsi="宋体" w:eastAsia="宋体"/>
          <w:iCs/>
          <w:sz w:val="24"/>
          <w:szCs w:val="24"/>
          <w:highlight w:val="none"/>
        </w:rPr>
        <w:t>3110930015700006922</w:t>
      </w:r>
    </w:p>
    <w:p w14:paraId="5A122D1E">
      <w:pPr>
        <w:spacing w:line="500" w:lineRule="exact"/>
        <w:ind w:firstLine="480" w:firstLineChars="200"/>
        <w:rPr>
          <w:rFonts w:ascii="宋体" w:hAnsi="宋体" w:eastAsia="宋体" w:cs="宋体"/>
          <w:sz w:val="24"/>
          <w:highlight w:val="none"/>
          <w:u w:val="single"/>
        </w:rPr>
      </w:pPr>
    </w:p>
    <w:p w14:paraId="447C0DD9">
      <w:pPr>
        <w:spacing w:line="360" w:lineRule="auto"/>
        <w:jc w:val="right"/>
        <w:rPr>
          <w:rFonts w:ascii="宋体" w:hAnsi="宋体" w:eastAsia="宋体" w:cs="宋体"/>
          <w:sz w:val="24"/>
          <w:szCs w:val="28"/>
          <w:highlight w:val="none"/>
        </w:rPr>
      </w:pPr>
      <w:r>
        <w:rPr>
          <w:rFonts w:hint="eastAsia" w:ascii="宋体" w:hAnsi="宋体" w:eastAsia="宋体" w:cs="宋体"/>
          <w:sz w:val="24"/>
          <w:szCs w:val="24"/>
          <w:highlight w:val="none"/>
        </w:rPr>
        <w:t>招标人：庐山市西牯岭新材料有限公司</w:t>
      </w:r>
    </w:p>
    <w:p w14:paraId="4F0E89B1">
      <w:pPr>
        <w:spacing w:line="360" w:lineRule="auto"/>
        <w:jc w:val="right"/>
        <w:rPr>
          <w:rFonts w:ascii="宋体" w:hAnsi="宋体" w:eastAsia="宋体" w:cs="宋体"/>
          <w:sz w:val="24"/>
          <w:szCs w:val="28"/>
          <w:highlight w:val="none"/>
        </w:rPr>
      </w:pPr>
      <w:r>
        <w:rPr>
          <w:rFonts w:hint="eastAsia" w:ascii="宋体" w:hAnsi="宋体" w:eastAsia="宋体" w:cs="宋体"/>
          <w:sz w:val="24"/>
          <w:szCs w:val="24"/>
          <w:highlight w:val="none"/>
        </w:rPr>
        <w:t>招标代理机构:</w:t>
      </w:r>
      <w:r>
        <w:rPr>
          <w:rFonts w:hint="eastAsia" w:ascii="宋体" w:hAnsi="宋体" w:eastAsia="宋体" w:cs="宋体"/>
          <w:sz w:val="24"/>
          <w:szCs w:val="28"/>
          <w:highlight w:val="none"/>
        </w:rPr>
        <w:t>中通服供应链股份有限公司</w:t>
      </w:r>
    </w:p>
    <w:p w14:paraId="5716AAC9">
      <w:pPr>
        <w:adjustRightInd w:val="0"/>
        <w:snapToGrid w:val="0"/>
        <w:spacing w:line="360" w:lineRule="auto"/>
        <w:ind w:firstLine="5760" w:firstLineChars="2400"/>
        <w:jc w:val="left"/>
        <w:rPr>
          <w:rFonts w:ascii="宋体" w:hAnsi="宋体" w:eastAsia="宋体" w:cs="宋体"/>
          <w:sz w:val="24"/>
          <w:szCs w:val="28"/>
          <w:highlight w:val="none"/>
        </w:rPr>
      </w:pPr>
      <w:r>
        <w:rPr>
          <w:rFonts w:hint="eastAsia" w:ascii="宋体" w:hAnsi="宋体" w:eastAsia="宋体" w:cs="宋体"/>
          <w:sz w:val="24"/>
          <w:szCs w:val="28"/>
          <w:highlight w:val="none"/>
        </w:rPr>
        <w:t>2024年</w:t>
      </w:r>
      <w:r>
        <w:rPr>
          <w:rFonts w:ascii="宋体" w:hAnsi="宋体" w:eastAsia="宋体" w:cs="宋体"/>
          <w:sz w:val="24"/>
          <w:szCs w:val="28"/>
          <w:highlight w:val="none"/>
        </w:rPr>
        <w:t xml:space="preserve"> </w:t>
      </w:r>
      <w:r>
        <w:rPr>
          <w:rFonts w:hint="eastAsia" w:ascii="宋体" w:hAnsi="宋体" w:eastAsia="宋体" w:cs="宋体"/>
          <w:sz w:val="24"/>
          <w:szCs w:val="28"/>
          <w:highlight w:val="none"/>
          <w:lang w:val="en-US" w:eastAsia="zh-CN"/>
        </w:rPr>
        <w:t>9</w:t>
      </w:r>
      <w:r>
        <w:rPr>
          <w:rFonts w:ascii="宋体" w:hAnsi="宋体" w:eastAsia="宋体" w:cs="宋体"/>
          <w:sz w:val="24"/>
          <w:szCs w:val="28"/>
          <w:highlight w:val="none"/>
        </w:rPr>
        <w:t xml:space="preserve"> </w:t>
      </w:r>
      <w:r>
        <w:rPr>
          <w:rFonts w:hint="eastAsia" w:ascii="宋体" w:hAnsi="宋体" w:eastAsia="宋体" w:cs="宋体"/>
          <w:sz w:val="24"/>
          <w:szCs w:val="28"/>
          <w:highlight w:val="none"/>
        </w:rPr>
        <w:t>月</w:t>
      </w:r>
      <w:r>
        <w:rPr>
          <w:rFonts w:ascii="宋体" w:hAnsi="宋体" w:eastAsia="宋体" w:cs="宋体"/>
          <w:sz w:val="24"/>
          <w:szCs w:val="28"/>
          <w:highlight w:val="none"/>
        </w:rPr>
        <w:t xml:space="preserve"> </w:t>
      </w:r>
      <w:r>
        <w:rPr>
          <w:rFonts w:hint="eastAsia" w:ascii="宋体" w:hAnsi="宋体" w:eastAsia="宋体" w:cs="宋体"/>
          <w:sz w:val="24"/>
          <w:szCs w:val="28"/>
          <w:highlight w:val="none"/>
          <w:lang w:val="en-US" w:eastAsia="zh-CN"/>
        </w:rPr>
        <w:t>14</w:t>
      </w:r>
      <w:r>
        <w:rPr>
          <w:rFonts w:ascii="宋体" w:hAnsi="宋体" w:eastAsia="宋体" w:cs="宋体"/>
          <w:sz w:val="24"/>
          <w:szCs w:val="28"/>
          <w:highlight w:val="none"/>
        </w:rPr>
        <w:t xml:space="preserve"> </w:t>
      </w:r>
      <w:r>
        <w:rPr>
          <w:rFonts w:hint="eastAsia" w:ascii="宋体" w:hAnsi="宋体" w:eastAsia="宋体" w:cs="宋体"/>
          <w:sz w:val="24"/>
          <w:szCs w:val="28"/>
          <w:highlight w:val="none"/>
        </w:rPr>
        <w:t>日</w:t>
      </w:r>
    </w:p>
    <w:p w14:paraId="0B9B6B94">
      <w:pPr>
        <w:rPr>
          <w:highlight w:val="none"/>
        </w:rPr>
      </w:pPr>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3FB8E4"/>
    <w:multiLevelType w:val="singleLevel"/>
    <w:tmpl w:val="693FB8E4"/>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kMDYxNjZhZmJmMjc0YjI4NjI5NzQwOGFkMzJhNzcifQ=="/>
  </w:docVars>
  <w:rsids>
    <w:rsidRoot w:val="798825B3"/>
    <w:rsid w:val="03F91167"/>
    <w:rsid w:val="05907990"/>
    <w:rsid w:val="06052CB4"/>
    <w:rsid w:val="0A67379F"/>
    <w:rsid w:val="0EDC4568"/>
    <w:rsid w:val="1049018B"/>
    <w:rsid w:val="1102754C"/>
    <w:rsid w:val="18EE459B"/>
    <w:rsid w:val="19F02A5C"/>
    <w:rsid w:val="20930174"/>
    <w:rsid w:val="24F91DB9"/>
    <w:rsid w:val="25F679EB"/>
    <w:rsid w:val="28F12FAD"/>
    <w:rsid w:val="2B855C5A"/>
    <w:rsid w:val="35303C78"/>
    <w:rsid w:val="391C1E80"/>
    <w:rsid w:val="3A646E4A"/>
    <w:rsid w:val="3ACA6E04"/>
    <w:rsid w:val="41276DE4"/>
    <w:rsid w:val="494A4BF2"/>
    <w:rsid w:val="50A26ECD"/>
    <w:rsid w:val="50B27F2B"/>
    <w:rsid w:val="51043CC2"/>
    <w:rsid w:val="51ED634B"/>
    <w:rsid w:val="59020B5F"/>
    <w:rsid w:val="61482C33"/>
    <w:rsid w:val="718A5928"/>
    <w:rsid w:val="745F621A"/>
    <w:rsid w:val="798825B3"/>
    <w:rsid w:val="7DD92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0"/>
    <w:autoRedefine/>
    <w:qFormat/>
    <w:uiPriority w:val="0"/>
    <w:pPr>
      <w:keepNext/>
      <w:keepLines/>
      <w:spacing w:before="0" w:after="0" w:line="360" w:lineRule="auto"/>
      <w:jc w:val="left"/>
      <w:outlineLvl w:val="0"/>
    </w:pPr>
    <w:rPr>
      <w:rFonts w:asciiTheme="minorAscii" w:hAnsiTheme="minorAscii" w:eastAsiaTheme="minorEastAsia" w:cstheme="minorBidi"/>
      <w:bCs/>
      <w:kern w:val="44"/>
      <w:sz w:val="32"/>
      <w:szCs w:val="32"/>
    </w:rPr>
  </w:style>
  <w:style w:type="paragraph" w:styleId="4">
    <w:name w:val="heading 2"/>
    <w:basedOn w:val="1"/>
    <w:next w:val="1"/>
    <w:link w:val="11"/>
    <w:semiHidden/>
    <w:unhideWhenUsed/>
    <w:qFormat/>
    <w:uiPriority w:val="0"/>
    <w:pPr>
      <w:keepNext/>
      <w:keepLines/>
      <w:spacing w:before="0" w:after="0" w:line="360" w:lineRule="auto"/>
      <w:jc w:val="left"/>
      <w:outlineLvl w:val="1"/>
    </w:pPr>
    <w:rPr>
      <w:rFonts w:ascii="Calibri Light" w:hAnsi="Calibri Light" w:eastAsia="宋体" w:cs="Times New Roman"/>
      <w:b/>
      <w:bCs/>
      <w:szCs w:val="32"/>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3">
    <w:name w:val="标题1"/>
    <w:basedOn w:val="1"/>
    <w:next w:val="2"/>
    <w:qFormat/>
    <w:uiPriority w:val="0"/>
    <w:pPr>
      <w:spacing w:line="360" w:lineRule="auto"/>
    </w:pPr>
    <w:rPr>
      <w:rFonts w:eastAsia="宋体"/>
      <w:b/>
      <w:sz w:val="32"/>
    </w:rPr>
  </w:style>
  <w:style w:type="paragraph" w:styleId="5">
    <w:name w:val="Body Text Indent"/>
    <w:basedOn w:val="1"/>
    <w:autoRedefine/>
    <w:qFormat/>
    <w:uiPriority w:val="0"/>
    <w:pPr>
      <w:spacing w:after="120" w:afterLines="0" w:afterAutospacing="0"/>
      <w:ind w:left="420" w:leftChars="200"/>
    </w:pPr>
  </w:style>
  <w:style w:type="paragraph" w:styleId="6">
    <w:name w:val="Body Text First Indent 2"/>
    <w:basedOn w:val="5"/>
    <w:autoRedefine/>
    <w:qFormat/>
    <w:uiPriority w:val="0"/>
    <w:pPr>
      <w:ind w:firstLine="420" w:firstLineChars="200"/>
    </w:pPr>
  </w:style>
  <w:style w:type="character" w:styleId="9">
    <w:name w:val="Hyperlink"/>
    <w:unhideWhenUsed/>
    <w:qFormat/>
    <w:uiPriority w:val="99"/>
    <w:rPr>
      <w:color w:val="000000"/>
      <w:u w:val="none"/>
    </w:rPr>
  </w:style>
  <w:style w:type="character" w:customStyle="1" w:styleId="10">
    <w:name w:val="标题 1 Char"/>
    <w:link w:val="2"/>
    <w:autoRedefine/>
    <w:qFormat/>
    <w:uiPriority w:val="0"/>
    <w:rPr>
      <w:rFonts w:ascii="Times New Roman" w:hAnsi="Times New Roman" w:eastAsiaTheme="minorEastAsia" w:cstheme="minorBidi"/>
      <w:b/>
      <w:kern w:val="44"/>
      <w:sz w:val="30"/>
    </w:rPr>
  </w:style>
  <w:style w:type="character" w:customStyle="1" w:styleId="11">
    <w:name w:val=" Char Char"/>
    <w:basedOn w:val="8"/>
    <w:link w:val="4"/>
    <w:autoRedefine/>
    <w:qFormat/>
    <w:uiPriority w:val="0"/>
    <w:rPr>
      <w:rFonts w:ascii="Arial" w:hAnsi="Arial" w:eastAsia="宋体"/>
      <w:b/>
      <w:bCs/>
      <w:kern w:val="2"/>
      <w:sz w:val="30"/>
      <w:szCs w:val="32"/>
      <w:lang w:val="en-US" w:eastAsia="zh-CN" w:bidi="ar-SA"/>
    </w:rPr>
  </w:style>
  <w:style w:type="paragraph" w:customStyle="1" w:styleId="12">
    <w:name w:val="样式1"/>
    <w:basedOn w:val="1"/>
    <w:autoRedefine/>
    <w:qFormat/>
    <w:uiPriority w:val="0"/>
    <w:pPr>
      <w:widowControl/>
      <w:spacing w:line="560" w:lineRule="exact"/>
      <w:ind w:firstLine="1246" w:firstLineChars="200"/>
      <w:jc w:val="left"/>
    </w:pPr>
    <w:rPr>
      <w:rFonts w:hint="eastAsia" w:ascii="仿宋" w:hAnsi="仿宋" w:eastAsia="仿宋_GB2312" w:cs="仿宋"/>
      <w:color w:val="000000"/>
      <w:kern w:val="0"/>
      <w:sz w:val="30"/>
      <w:szCs w:val="30"/>
      <w:lang w:eastAsia="zh-CN" w:bidi="ar"/>
    </w:rPr>
  </w:style>
  <w:style w:type="paragraph" w:customStyle="1" w:styleId="13">
    <w:name w:val="样式2"/>
    <w:basedOn w:val="1"/>
    <w:qFormat/>
    <w:uiPriority w:val="0"/>
    <w:pPr>
      <w:spacing w:line="560" w:lineRule="exact"/>
      <w:ind w:firstLine="1246" w:firstLineChars="200"/>
      <w:jc w:val="left"/>
    </w:pPr>
    <w:rPr>
      <w:rFonts w:hint="eastAsia" w:ascii="Times New Roman" w:hAnsi="Times New Roman" w:eastAsia="仿宋_GB2312" w:cs="Times New Roman"/>
      <w:kern w:val="2"/>
      <w:sz w:val="30"/>
      <w:lang w:eastAsia="zh-CN"/>
    </w:rPr>
  </w:style>
  <w:style w:type="paragraph" w:customStyle="1" w:styleId="14">
    <w:name w:val="正文1"/>
    <w:basedOn w:val="1"/>
    <w:autoRedefine/>
    <w:qFormat/>
    <w:uiPriority w:val="0"/>
    <w:pPr>
      <w:widowControl w:val="0"/>
      <w:spacing w:line="560" w:lineRule="exact"/>
      <w:ind w:firstLine="200" w:firstLineChars="200"/>
      <w:jc w:val="left"/>
    </w:pPr>
    <w:rPr>
      <w:rFonts w:ascii="Times New Roman" w:hAnsi="Times New Roman" w:eastAsia="仿宋_GB2312" w:cs="Times New Roman"/>
      <w:sz w:val="24"/>
    </w:rPr>
  </w:style>
  <w:style w:type="paragraph" w:customStyle="1" w:styleId="15">
    <w:name w:val="正文缩2"/>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16">
    <w:name w:val="font61"/>
    <w:basedOn w:val="8"/>
    <w:qFormat/>
    <w:uiPriority w:val="0"/>
    <w:rPr>
      <w:rFonts w:hint="eastAsia" w:ascii="宋体" w:hAnsi="宋体" w:eastAsia="宋体" w:cs="宋体"/>
      <w:b/>
      <w:bCs/>
      <w:color w:val="000000"/>
      <w:sz w:val="24"/>
      <w:szCs w:val="24"/>
      <w:u w:val="none"/>
    </w:rPr>
  </w:style>
  <w:style w:type="character" w:customStyle="1" w:styleId="17">
    <w:name w:val="NormalCharacter"/>
    <w:link w:val="18"/>
    <w:qFormat/>
    <w:uiPriority w:val="0"/>
    <w:rPr>
      <w:rFonts w:ascii="Times New Roman" w:hAnsi="Times New Roman" w:eastAsia="宋体" w:cs="Times New Roman"/>
      <w:kern w:val="0"/>
      <w:sz w:val="20"/>
      <w:szCs w:val="20"/>
    </w:rPr>
  </w:style>
  <w:style w:type="paragraph" w:customStyle="1" w:styleId="18">
    <w:name w:val="UserStyle_47"/>
    <w:basedOn w:val="1"/>
    <w:link w:val="17"/>
    <w:qFormat/>
    <w:uiPriority w:val="0"/>
    <w:pPr>
      <w:widowControl/>
      <w:spacing w:after="160" w:line="240" w:lineRule="exact"/>
      <w:jc w:val="left"/>
      <w:textAlignment w:val="baseline"/>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3353</Words>
  <Characters>4036</Characters>
  <Lines>0</Lines>
  <Paragraphs>0</Paragraphs>
  <TotalTime>39</TotalTime>
  <ScaleCrop>false</ScaleCrop>
  <LinksUpToDate>false</LinksUpToDate>
  <CharactersWithSpaces>4127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2024-09-13T02:46:00Z</dcterms:created>
  <dc:creator>我还你口红</dc:creator>
  <cp:lastModifiedBy>我还你口红</cp:lastModifiedBy>
  <cp:lastPrinted>2024-09-14T06:48:59Z</cp:lastPrinted>
  <dcterms:modified xsi:type="dcterms:W3CDTF">2024-09-14T08:14:16Z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5DCD8282CE024D798C4E9FACAD3D5BB9_11</vt:lpwstr>
  </property>
</Properties>
</file>