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附件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 xml:space="preserve">二   </w:t>
      </w:r>
      <w:r>
        <w:rPr>
          <w:rFonts w:ascii="宋体" w:hAnsi="宋体" w:eastAsia="宋体" w:cs="宋体"/>
          <w:b/>
          <w:bCs/>
          <w:sz w:val="24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</w:rPr>
        <w:t>报价函表格式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jc w:val="center"/>
        <w:rPr>
          <w:rFonts w:ascii="黑体" w:hAnsi="黑体" w:eastAsia="黑体" w:cs="宋体"/>
          <w:b/>
          <w:bCs/>
          <w:sz w:val="32"/>
          <w:szCs w:val="32"/>
        </w:rPr>
      </w:pPr>
      <w:bookmarkStart w:id="0" w:name="_Hlk120178357"/>
      <w:bookmarkStart w:id="1" w:name="_Toc19284"/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庐山市西牯岭新材料</w:t>
      </w:r>
      <w:r>
        <w:rPr>
          <w:rFonts w:hint="eastAsia" w:ascii="宋体" w:hAnsi="宋体" w:eastAsia="宋体" w:cs="宋体"/>
          <w:b/>
          <w:bCs/>
          <w:sz w:val="24"/>
        </w:rPr>
        <w:t>有限公司</w:t>
      </w:r>
      <w:r>
        <w:rPr>
          <w:rFonts w:hint="eastAsia" w:ascii="宋体" w:hAnsi="宋体" w:eastAsia="宋体" w:cs="宋体"/>
          <w:b/>
          <w:bCs/>
          <w:sz w:val="24"/>
          <w:lang w:val="en-US" w:eastAsia="zh-CN"/>
        </w:rPr>
        <w:t>矿山主道路喷淋设备采购</w:t>
      </w:r>
      <w:r>
        <w:rPr>
          <w:rFonts w:hint="eastAsia" w:ascii="宋体" w:hAnsi="宋体" w:eastAsia="宋体" w:cs="宋体"/>
          <w:b/>
          <w:bCs/>
          <w:sz w:val="24"/>
        </w:rPr>
        <w:t>项目询价公告</w:t>
      </w:r>
    </w:p>
    <w:bookmarkEnd w:id="0"/>
    <w:bookmarkEnd w:id="1"/>
    <w:p>
      <w:pPr>
        <w:spacing w:line="360" w:lineRule="auto"/>
        <w:ind w:firstLine="480" w:firstLineChars="200"/>
        <w:jc w:val="right"/>
        <w:rPr>
          <w:rFonts w:hint="eastAsia" w:ascii="宋体" w:hAnsi="宋体" w:eastAsia="宋体" w:cs="宋体"/>
          <w:kern w:val="2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</w:rPr>
        <w:t>编号：</w:t>
      </w:r>
      <w:r>
        <w:rPr>
          <w:rFonts w:hint="eastAsia" w:ascii="宋体" w:hAnsi="宋体" w:eastAsia="宋体" w:cs="宋体"/>
          <w:kern w:val="2"/>
          <w:sz w:val="24"/>
        </w:rPr>
        <w:t>LS04-AH-2024-019</w:t>
      </w:r>
    </w:p>
    <w:tbl>
      <w:tblPr>
        <w:tblStyle w:val="6"/>
        <w:tblW w:w="4998" w:type="pct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5"/>
        <w:gridCol w:w="1651"/>
        <w:gridCol w:w="1762"/>
        <w:gridCol w:w="220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705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名称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税率（</w:t>
            </w:r>
            <w:r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  <w:t>%）</w:t>
            </w:r>
          </w:p>
        </w:tc>
        <w:tc>
          <w:tcPr>
            <w:tcW w:w="1034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</w:rPr>
              <w:t>含税单价</w:t>
            </w:r>
          </w:p>
        </w:tc>
        <w:tc>
          <w:tcPr>
            <w:tcW w:w="1291" w:type="pct"/>
            <w:vAlign w:val="center"/>
          </w:tcPr>
          <w:p>
            <w:pPr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18"/>
                <w:lang w:val="en-US" w:eastAsia="zh-CN"/>
              </w:rPr>
              <w:t>总价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05" w:type="pct"/>
            <w:vAlign w:val="center"/>
          </w:tcPr>
          <w:p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1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16台主机不小于4KM雾桩，喷射距离不低于20米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291" w:type="pct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  <w:r>
              <w:rPr>
                <w:rFonts w:hint="eastAsia"/>
              </w:rPr>
              <w:t>（备注：与询价须数量一致）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0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电机使用国产知名品牌电机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291" w:type="pct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0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软化水设备（20T）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291" w:type="pct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0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水箱16个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291" w:type="pct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0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一级配电箱1个、二级配电箱4个、三级配电箱16个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291" w:type="pct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05" w:type="pct"/>
            <w:vAlign w:val="center"/>
          </w:tcPr>
          <w:p>
            <w:pPr>
              <w:pStyle w:val="2"/>
              <w:jc w:val="both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铝电缆线：3*110+1国标180米、3*50+1国标650米；铜电缆线：3*4+1国标1100米、3*6+1国标130米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291" w:type="pct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0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加压泵组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291" w:type="pct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0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桥架（100*200）600米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291" w:type="pct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0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马路开槽恢复、水路安装、电路安装、设备安装、控制系统、管配件、运输、人工、其它辅材等包干</w:t>
            </w:r>
          </w:p>
        </w:tc>
        <w:tc>
          <w:tcPr>
            <w:tcW w:w="969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034" w:type="pct"/>
            <w:vAlign w:val="center"/>
          </w:tcPr>
          <w:p>
            <w:pPr>
              <w:spacing w:line="360" w:lineRule="auto"/>
              <w:ind w:firstLine="361" w:firstLineChars="20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18"/>
              </w:rPr>
            </w:pPr>
          </w:p>
        </w:tc>
        <w:tc>
          <w:tcPr>
            <w:tcW w:w="1291" w:type="pct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auto"/>
              <w:ind w:firstLine="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hd w:val="clear" w:fill="FFFFFF"/>
                <w:lang w:val="en-US" w:eastAsia="zh-CN" w:bidi="ar"/>
              </w:rPr>
              <w:t>总体报价：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5000" w:type="pct"/>
            <w:gridSpan w:val="4"/>
            <w:vAlign w:val="center"/>
          </w:tcPr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leftChars="0" w:right="0" w:firstLine="0" w:firstLineChars="0"/>
              <w:jc w:val="left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kern w:val="0"/>
                <w:sz w:val="24"/>
                <w:shd w:val="clear" w:fill="FFFFFF"/>
                <w:lang w:val="en-US" w:eastAsia="zh-CN" w:bidi="ar"/>
              </w:rPr>
              <w:t>备注：</w:t>
            </w: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过载保护，缺项保护，漏电保护，水质过滤，自动供水、水满自动停止，缺水保护、缺水水泵自动停止运行，冬季结冰保护功能，定时功能，自动启停功能，手机及PC端远程控制系统，预留智慧矿山接口；</w:t>
            </w:r>
          </w:p>
          <w:p>
            <w:pPr>
              <w:keepNext w:val="0"/>
              <w:keepLines w:val="0"/>
              <w:widowControl/>
              <w:numPr>
                <w:ilvl w:val="-1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450" w:lineRule="atLeast"/>
              <w:ind w:left="0" w:leftChars="0" w:right="0" w:firstLine="0" w:firstLineChars="0"/>
              <w:jc w:val="left"/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所有室外使用设备、物料需符合室外使用标准（采用不锈钢或玻璃钢等符合防腐防晒等要求）；</w:t>
            </w:r>
          </w:p>
          <w:p>
            <w:pPr>
              <w:spacing w:line="360" w:lineRule="auto"/>
              <w:ind w:firstLine="0" w:firstLineChars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电机、增压泵等核心设备一年内换新，质保2年；</w:t>
            </w:r>
          </w:p>
        </w:tc>
      </w:tr>
    </w:tbl>
    <w:p>
      <w:pPr>
        <w:pStyle w:val="8"/>
        <w:spacing w:line="360" w:lineRule="auto"/>
        <w:ind w:firstLine="480" w:firstLineChars="200"/>
        <w:rPr>
          <w:rFonts w:hint="eastAsia" w:ascii="楷体_GB2312" w:hAnsi="楷体_GB2312" w:eastAsia="楷体_GB2312" w:cs="楷体_GB2312"/>
          <w:color w:val="000000"/>
          <w:sz w:val="24"/>
          <w:shd w:val="clear" w:fill="FFFFFF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sz w:val="24"/>
          <w:shd w:val="clear" w:fill="FFFFFF"/>
          <w:lang w:bidi="ar"/>
        </w:rPr>
        <w:t>本报价的有效期为自送达日起2个月。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xOTA2YzI4NjAxZmRlMDFhZjIzM2NmNDJlYTg4ZTgifQ=="/>
  </w:docVars>
  <w:rsids>
    <w:rsidRoot w:val="00000000"/>
    <w:rsid w:val="143A59EE"/>
    <w:rsid w:val="16880513"/>
    <w:rsid w:val="1A023680"/>
    <w:rsid w:val="1BE62A65"/>
    <w:rsid w:val="2B3F3119"/>
    <w:rsid w:val="2CB11184"/>
    <w:rsid w:val="2D2B4683"/>
    <w:rsid w:val="31B27DF8"/>
    <w:rsid w:val="3BB24C34"/>
    <w:rsid w:val="3FE47177"/>
    <w:rsid w:val="46905CD0"/>
    <w:rsid w:val="60D356B0"/>
    <w:rsid w:val="632A3998"/>
    <w:rsid w:val="6DB9030D"/>
    <w:rsid w:val="7E30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adjustRightInd w:val="0"/>
      <w:spacing w:line="360" w:lineRule="auto"/>
      <w:jc w:val="left"/>
      <w:textAlignment w:val="baseline"/>
      <w:outlineLvl w:val="1"/>
    </w:pPr>
    <w:rPr>
      <w:rFonts w:ascii="Arial" w:hAnsi="Arial"/>
      <w:kern w:val="0"/>
      <w:sz w:val="28"/>
      <w:szCs w:val="20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0"/>
    <w:pPr>
      <w:ind w:firstLine="420" w:firstLineChars="200"/>
    </w:p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customStyle="1" w:styleId="8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92</Words>
  <Characters>106</Characters>
  <Lines>0</Lines>
  <Paragraphs>0</Paragraphs>
  <TotalTime>0</TotalTime>
  <ScaleCrop>false</ScaleCrop>
  <LinksUpToDate>false</LinksUpToDate>
  <CharactersWithSpaces>110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2023-05-04T03:24:00Z</dcterms:created>
  <dc:creator>LENOVOV</dc:creator>
  <cp:lastModifiedBy>我还你口红</cp:lastModifiedBy>
  <dcterms:modified xsi:type="dcterms:W3CDTF">2024-09-10T12:59:57Z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69D0A9ADF4464FD48BA6E610E2DE172D_13</vt:lpwstr>
  </property>
</Properties>
</file>