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14:paraId="7460A49D">
      <w:pPr>
        <w:ind w:firstLine="1446" w:firstLineChars="600"/>
      </w:pPr>
      <w:bookmarkStart w:id="0" w:name="_Hlk120178357"/>
      <w:bookmarkStart w:id="1" w:name="_Toc19284"/>
      <w:r>
        <w:rPr>
          <w:rFonts w:hint="eastAsia"/>
        </w:rPr>
        <w:t>宁波振诚矿业有限公司穿鼻岛矿泥饼处置项目</w:t>
      </w:r>
      <w:bookmarkEnd w:id="0"/>
      <w:r>
        <w:rPr>
          <w:rFonts w:hint="eastAsia"/>
        </w:rPr>
        <w:t>询价公告</w:t>
      </w:r>
      <w:bookmarkEnd w:id="1"/>
    </w:p>
    <w:p w14:paraId="3A9810E6">
      <w:pPr>
        <w:pStyle w:val="17"/>
        <w:ind w:left="0" w:leftChars="0" w:firstLine="5783" w:firstLineChars="2400"/>
        <w:rPr>
          <w:rFonts w:hint="eastAsia" w:eastAsia="宋体"/>
          <w:highlight w:val="yellow"/>
          <w:lang w:val="en-US" w:eastAsia="zh-CN"/>
        </w:rPr>
      </w:pPr>
      <w:r>
        <w:rPr>
          <w:rFonts w:hint="eastAsia"/>
        </w:rPr>
        <w:t>编号：</w:t>
      </w:r>
      <w:r>
        <w:rPr>
          <w:rFonts w:hint="eastAsia" w:ascii="宋体" w:hAnsi="宋体" w:eastAsia="宋体" w:cs="宋体"/>
          <w:kern w:val="2"/>
          <w:sz w:val="24"/>
        </w:rPr>
        <w:t>NBZCNBZB202400</w:t>
      </w:r>
      <w:r>
        <w:rPr>
          <w:rFonts w:hint="eastAsia" w:cs="宋体"/>
          <w:kern w:val="2"/>
          <w:sz w:val="24"/>
          <w:lang w:val="en-US" w:eastAsia="zh-CN"/>
        </w:rPr>
        <w:t>2</w:t>
      </w:r>
    </w:p>
    <w:sdt>
      <w:sdtPr>
        <w:rPr>
          <w:rFonts w:asciiTheme="minorHAnsi" w:hAnsiTheme="minorHAnsi" w:eastAsiaTheme="minorEastAsia" w:cstheme="minorBidi"/>
          <w:color w:val="auto"/>
          <w:kern w:val="2"/>
          <w:sz w:val="21"/>
          <w:szCs w:val="24"/>
          <w:lang w:val="zh-CN"/>
        </w:rPr>
        <w:id w:val="775914862"/>
        <w:docPartObj>
          <w:docPartGallery w:val="Table of Contents"/>
          <w:docPartUnique/>
        </w:docPartObj>
      </w:sdtPr>
      <w:sdtEndPr>
        <w:rPr>
          <w:rFonts w:ascii="宋体" w:hAnsi="宋体" w:eastAsia="宋体" w:cs="宋体"/>
          <w:color w:val="auto"/>
          <w:kern w:val="2"/>
          <w:sz w:val="24"/>
          <w:szCs w:val="24"/>
          <w:lang w:val="zh-CN"/>
        </w:rPr>
      </w:sdtEndPr>
      <w:sdtContent>
        <w:p w14:paraId="76CD16C0">
          <w:pPr>
            <w:pStyle w:val="27"/>
            <w:ind w:firstLine="422"/>
          </w:pPr>
          <w:r>
            <w:rPr>
              <w:lang w:val="zh-CN"/>
            </w:rPr>
            <w:t>目录</w:t>
          </w:r>
        </w:p>
        <w:p w14:paraId="34EEC3BB">
          <w:pPr>
            <w:pStyle w:val="9"/>
            <w:ind w:firstLine="482"/>
            <w:rPr>
              <w:szCs w:val="22"/>
              <w14:ligatures w14:val="standardContextual"/>
            </w:rPr>
          </w:pPr>
          <w:r>
            <w:fldChar w:fldCharType="begin"/>
          </w:r>
          <w:r>
            <w:instrText xml:space="preserve"> TOC \o "1-3" \h \z \u </w:instrText>
          </w:r>
          <w:r>
            <w:fldChar w:fldCharType="separate"/>
          </w:r>
          <w:r>
            <w:fldChar w:fldCharType="begin"/>
          </w:r>
          <w:r>
            <w:instrText xml:space="preserve"> HYPERLINK \l "_Toc151304568" </w:instrText>
          </w:r>
          <w:r>
            <w:fldChar w:fldCharType="separate"/>
          </w:r>
          <w:r>
            <w:rPr>
              <w:rStyle w:val="15"/>
              <w:rFonts w:ascii="黑体" w:hAnsi="黑体" w:eastAsia="黑体"/>
            </w:rPr>
            <w:t xml:space="preserve">第一章   </w:t>
          </w:r>
          <w:r>
            <w:rPr>
              <w:rStyle w:val="15"/>
              <w:rFonts w:hint="eastAsia" w:ascii="黑体" w:hAnsi="黑体" w:eastAsia="黑体"/>
            </w:rPr>
            <w:t>询价</w:t>
          </w:r>
          <w:r>
            <w:rPr>
              <w:rStyle w:val="15"/>
              <w:rFonts w:ascii="黑体" w:hAnsi="黑体" w:eastAsia="黑体"/>
            </w:rPr>
            <w:t>须知</w:t>
          </w:r>
          <w:r>
            <w:tab/>
          </w:r>
          <w:r>
            <w:fldChar w:fldCharType="begin"/>
          </w:r>
          <w:r>
            <w:instrText xml:space="preserve"> PAGEREF _Toc151304568 \h </w:instrText>
          </w:r>
          <w:r>
            <w:fldChar w:fldCharType="separate"/>
          </w:r>
          <w:r>
            <w:t>1</w:t>
          </w:r>
          <w:r>
            <w:fldChar w:fldCharType="end"/>
          </w:r>
          <w:r>
            <w:fldChar w:fldCharType="end"/>
          </w:r>
        </w:p>
        <w:p w14:paraId="46D799B3">
          <w:pPr>
            <w:pStyle w:val="9"/>
            <w:ind w:firstLine="482"/>
            <w:rPr>
              <w:szCs w:val="22"/>
              <w14:ligatures w14:val="standardContextual"/>
            </w:rPr>
          </w:pPr>
          <w:r>
            <w:fldChar w:fldCharType="begin"/>
          </w:r>
          <w:r>
            <w:instrText xml:space="preserve"> HYPERLINK \l "_Toc151304569" </w:instrText>
          </w:r>
          <w:r>
            <w:fldChar w:fldCharType="separate"/>
          </w:r>
          <w:r>
            <w:rPr>
              <w:rStyle w:val="15"/>
              <w:rFonts w:ascii="黑体" w:hAnsi="黑体" w:eastAsia="黑体"/>
            </w:rPr>
            <w:t xml:space="preserve">第二章   </w:t>
          </w:r>
          <w:r>
            <w:rPr>
              <w:rStyle w:val="15"/>
              <w:rFonts w:hint="eastAsia" w:ascii="黑体" w:hAnsi="黑体" w:eastAsia="黑体"/>
            </w:rPr>
            <w:t>询价</w:t>
          </w:r>
          <w:r>
            <w:rPr>
              <w:rStyle w:val="15"/>
              <w:rFonts w:ascii="黑体" w:hAnsi="黑体" w:eastAsia="黑体"/>
            </w:rPr>
            <w:t>文件模板</w:t>
          </w:r>
          <w:r>
            <w:tab/>
          </w:r>
          <w:r>
            <w:fldChar w:fldCharType="begin"/>
          </w:r>
          <w:r>
            <w:instrText xml:space="preserve"> PAGEREF _Toc151304569 \h </w:instrText>
          </w:r>
          <w:r>
            <w:fldChar w:fldCharType="separate"/>
          </w:r>
          <w:r>
            <w:t>4</w:t>
          </w:r>
          <w:r>
            <w:fldChar w:fldCharType="end"/>
          </w:r>
          <w:r>
            <w:fldChar w:fldCharType="end"/>
          </w:r>
        </w:p>
        <w:p w14:paraId="58304DC7">
          <w:pPr>
            <w:ind w:firstLine="482"/>
          </w:pPr>
          <w:r>
            <w:rPr>
              <w:lang w:val="zh-CN"/>
            </w:rPr>
            <w:fldChar w:fldCharType="end"/>
          </w:r>
        </w:p>
      </w:sdtContent>
    </w:sdt>
    <w:p w14:paraId="5024BEC2">
      <w:pPr>
        <w:pStyle w:val="17"/>
        <w:rPr>
          <w:kern w:val="2"/>
        </w:rPr>
      </w:pPr>
      <w:bookmarkStart w:id="2" w:name="_Toc151304568"/>
      <w:bookmarkStart w:id="3" w:name="_Toc120781445"/>
      <w:r>
        <w:rPr>
          <w:rFonts w:hint="eastAsia"/>
        </w:rPr>
        <w:t xml:space="preserve">第一章 </w:t>
      </w:r>
      <w:r>
        <w:t xml:space="preserve">  </w:t>
      </w:r>
      <w:r>
        <w:rPr>
          <w:rFonts w:hint="eastAsia"/>
        </w:rPr>
        <w:t>询价须知</w:t>
      </w:r>
      <w:bookmarkEnd w:id="2"/>
      <w:bookmarkEnd w:id="3"/>
    </w:p>
    <w:p w14:paraId="2CB6EECC">
      <w:pPr>
        <w:ind w:firstLine="482"/>
      </w:pPr>
      <w:r>
        <w:rPr>
          <w:rFonts w:hint="eastAsia"/>
        </w:rPr>
        <w:t>根据我单位泥饼处置项目计划安排，拟采用公开询价方式进行，现发布如下公告。</w:t>
      </w:r>
    </w:p>
    <w:p w14:paraId="00F3C52E">
      <w:pPr>
        <w:ind w:firstLine="482"/>
      </w:pPr>
      <w:r>
        <w:rPr>
          <w:rFonts w:hint="eastAsia"/>
        </w:rPr>
        <w:t>一、项目名称：宁波振诚矿业有限公司穿鼻岛矿泥饼处置询价项目。</w:t>
      </w:r>
    </w:p>
    <w:p w14:paraId="22E02A9D">
      <w:pPr>
        <w:ind w:firstLine="482"/>
      </w:pPr>
      <w:r>
        <w:rPr>
          <w:rFonts w:hint="eastAsia"/>
        </w:rPr>
        <w:t>二、暂定标的物质量：泥饼。</w:t>
      </w:r>
    </w:p>
    <w:p w14:paraId="0CCF85A8">
      <w:pPr>
        <w:ind w:firstLine="482"/>
      </w:pPr>
      <w:r>
        <w:rPr>
          <w:rFonts w:hint="eastAsia"/>
        </w:rPr>
        <w:t>委托人特别提醒询价人：</w:t>
      </w:r>
      <w:bookmarkStart w:id="4" w:name="_Hlk120713317"/>
      <w:r>
        <w:rPr>
          <w:rFonts w:hint="eastAsia"/>
        </w:rPr>
        <w:t>因泥饼生产工艺是机制砂在生产中产生的污水经</w:t>
      </w:r>
      <w:r>
        <w:fldChar w:fldCharType="begin"/>
      </w:r>
      <w:r>
        <w:instrText xml:space="preserve"> HYPERLINK "https://baike.baidu.com/item/%E8%BF%87%E6%BB%A4/8737022?fromModule=lemma_inlink" \t "https://baike.baidu.com/item/%E6%B3%A5%E9%A5%BC/_blank" </w:instrText>
      </w:r>
      <w:r>
        <w:fldChar w:fldCharType="separate"/>
      </w:r>
      <w:r>
        <w:rPr>
          <w:rFonts w:hint="eastAsia"/>
        </w:rPr>
        <w:t>过滤</w:t>
      </w:r>
      <w:r>
        <w:rPr>
          <w:rFonts w:hint="eastAsia"/>
        </w:rPr>
        <w:fldChar w:fldCharType="end"/>
      </w:r>
      <w:r>
        <w:rPr>
          <w:rFonts w:hint="eastAsia"/>
        </w:rPr>
        <w:t>过程后</w:t>
      </w:r>
      <w:r>
        <w:fldChar w:fldCharType="begin"/>
      </w:r>
      <w:r>
        <w:instrText xml:space="preserve"> HYPERLINK "https://baike.baidu.com/item/%E6%B2%89%E7%A7%AF/10679467?fromModule=lemma_inlink" \t "https://baike.baidu.com/item/%E6%B3%A5%E9%A5%BC/_blank" </w:instrText>
      </w:r>
      <w:r>
        <w:fldChar w:fldCharType="separate"/>
      </w:r>
      <w:r>
        <w:rPr>
          <w:rFonts w:hint="eastAsia"/>
        </w:rPr>
        <w:t>沉积</w:t>
      </w:r>
      <w:r>
        <w:rPr>
          <w:rFonts w:hint="eastAsia"/>
        </w:rPr>
        <w:fldChar w:fldCharType="end"/>
      </w:r>
      <w:r>
        <w:rPr>
          <w:rFonts w:hint="eastAsia"/>
        </w:rPr>
        <w:t>，并经过压滤机压滤脱水处理后成泥饼，后续因生产、过滤、水源等因素影响标的物质量的以实际装货情况为准。委托人无法保证标的物质量，不承担质量差异及瑕疵（包括隐形瑕疵）风险，未知的质量风险由询价人自己承担，且标的物品质差异不影响本次询价成交价。询价人一旦作出报价，即表明已完全理解并同意。</w:t>
      </w:r>
      <w:bookmarkEnd w:id="4"/>
    </w:p>
    <w:p w14:paraId="10473AFD">
      <w:pPr>
        <w:pStyle w:val="17"/>
        <w:numPr>
          <w:ilvl w:val="0"/>
          <w:numId w:val="1"/>
        </w:numPr>
        <w:ind w:firstLineChars="0"/>
      </w:pPr>
      <w:r>
        <w:rPr>
          <w:rFonts w:hint="eastAsia"/>
        </w:rPr>
        <w:t>暂定标的额：</w:t>
      </w:r>
      <w:r>
        <w:t>230</w:t>
      </w:r>
      <w:r>
        <w:rPr>
          <w:rFonts w:hint="eastAsia"/>
        </w:rPr>
        <w:t>万元，最高限价</w:t>
      </w:r>
      <w:r>
        <w:t>23</w:t>
      </w:r>
      <w:r>
        <w:rPr>
          <w:rFonts w:hint="eastAsia"/>
        </w:rPr>
        <w:t>元/吨（含税价）</w:t>
      </w:r>
    </w:p>
    <w:p w14:paraId="17AEB98B">
      <w:pPr>
        <w:pStyle w:val="17"/>
      </w:pPr>
      <w:r>
        <w:rPr>
          <w:rFonts w:hint="eastAsia"/>
        </w:rPr>
        <w:t>委托人特别提醒询价人：交易数量以实际出运为准，具体数量不超过</w:t>
      </w:r>
      <w:r>
        <w:t>230</w:t>
      </w:r>
      <w:r>
        <w:rPr>
          <w:rFonts w:hint="eastAsia"/>
        </w:rPr>
        <w:t>万元总金额除以中标单价，前后合同中标单价不予调整。</w:t>
      </w:r>
    </w:p>
    <w:p w14:paraId="2510B91D">
      <w:pPr>
        <w:pStyle w:val="17"/>
        <w:numPr>
          <w:ilvl w:val="0"/>
          <w:numId w:val="2"/>
        </w:numPr>
        <w:ind w:firstLineChars="0"/>
      </w:pPr>
      <w:r>
        <w:rPr>
          <w:rFonts w:hint="eastAsia"/>
          <w:kern w:val="2"/>
        </w:rPr>
        <w:t>出运时间：</w:t>
      </w:r>
      <w:r>
        <w:rPr>
          <w:rFonts w:hint="eastAsia"/>
        </w:rPr>
        <w:t>自双方合同签订之日起</w:t>
      </w:r>
      <w:r>
        <w:t>3</w:t>
      </w:r>
      <w:r>
        <w:rPr>
          <w:rFonts w:hint="eastAsia"/>
        </w:rPr>
        <w:t>天内。</w:t>
      </w:r>
    </w:p>
    <w:p w14:paraId="0D9A64CB">
      <w:pPr>
        <w:pStyle w:val="17"/>
      </w:pPr>
      <w:r>
        <w:rPr>
          <w:rFonts w:hint="eastAsia"/>
        </w:rPr>
        <w:t>五、付款方式：</w:t>
      </w:r>
    </w:p>
    <w:p w14:paraId="77197401">
      <w:pPr>
        <w:pStyle w:val="17"/>
      </w:pPr>
      <w:r>
        <w:rPr>
          <w:rFonts w:hint="eastAsia"/>
        </w:rPr>
        <w:t>委托人向服务商支付泥饼处置费，服务商需免费提供相关发票，出票前具体开票明细请先与委托人沟通。服务商在合同签订之日起</w:t>
      </w:r>
      <w:r>
        <w:t>20</w:t>
      </w:r>
      <w:r>
        <w:rPr>
          <w:rFonts w:hint="eastAsia"/>
        </w:rPr>
        <w:t>天内出运交易金额达</w:t>
      </w:r>
      <w:r>
        <w:t>230</w:t>
      </w:r>
      <w:r>
        <w:rPr>
          <w:rFonts w:hint="eastAsia"/>
        </w:rPr>
        <w:t>万元则合同自动中止并重新公开询价，服务商在同等价格、条件下有优先续约权。经双方书面确认结算数量和金额，收到服务商开具发票后15个工作日内委托人支付全部款项。</w:t>
      </w:r>
    </w:p>
    <w:p w14:paraId="26845206">
      <w:pPr>
        <w:pStyle w:val="17"/>
      </w:pPr>
      <w:r>
        <w:rPr>
          <w:rFonts w:hint="eastAsia"/>
          <w:kern w:val="2"/>
        </w:rPr>
        <w:t>六、</w:t>
      </w:r>
      <w:r>
        <w:rPr>
          <w:rFonts w:hint="eastAsia"/>
        </w:rPr>
        <w:t>交付方式：委托人负责装船平仓。</w:t>
      </w:r>
    </w:p>
    <w:p w14:paraId="3D4B7198">
      <w:pPr>
        <w:pStyle w:val="17"/>
      </w:pPr>
    </w:p>
    <w:p w14:paraId="12519DA7">
      <w:pPr>
        <w:ind w:firstLine="482"/>
      </w:pPr>
      <w:r>
        <w:rPr>
          <w:rFonts w:hint="eastAsia"/>
        </w:rPr>
        <w:t>委托人特别提醒报价人：1、报价人应在竞买前充分了解装货码头情况及海事等相关主管部门对船舶和出运等方面的全部要求，一经报价视同完全知悉全部要求，不得提出有关的任何争议和补偿等。2、报价人必须自行组织数量足够、船型合适的船舶，同时船舶必须满足法律法规要求及行业主管部门的要求，有关证书需提供给委托方备查。内河船不得参与海上运输。3、报价人装运船舶应按照海事、港航等相关部门规定进行作业，保证船舶与人员安全，所有船舶装载量不得超过该船营运证书登记的荷载量，船舶航线需在船舶营运证核定范围内，装货及海运、船舶与人员的一切经济、安全等责任均由报价人全权负责，与委托方无涉。</w:t>
      </w:r>
    </w:p>
    <w:p w14:paraId="6019C371">
      <w:pPr>
        <w:pStyle w:val="31"/>
        <w:numPr>
          <w:ilvl w:val="0"/>
          <w:numId w:val="3"/>
        </w:numPr>
        <w:ind w:firstLine="482" w:firstLineChars="0"/>
      </w:pPr>
      <w:r>
        <w:rPr>
          <w:rFonts w:hint="eastAsia"/>
        </w:rPr>
        <w:t>询价人出运要求</w:t>
      </w:r>
    </w:p>
    <w:p w14:paraId="576BB398">
      <w:pPr>
        <w:ind w:firstLine="482"/>
      </w:pPr>
      <w:r>
        <w:rPr>
          <w:rFonts w:hint="eastAsia"/>
        </w:rPr>
        <w:t>服务商每日至少需出运</w:t>
      </w:r>
      <w:r>
        <w:t>5</w:t>
      </w:r>
      <w:r>
        <w:rPr>
          <w:rFonts w:hint="eastAsia"/>
        </w:rPr>
        <w:t>000吨泥饼</w:t>
      </w:r>
      <w:r>
        <w:rPr>
          <w:rFonts w:hint="eastAsia"/>
          <w:kern w:val="0"/>
        </w:rPr>
        <w:t>，</w:t>
      </w:r>
      <w:r>
        <w:rPr>
          <w:rFonts w:hint="eastAsia"/>
        </w:rPr>
        <w:t>如出现因服务商未及时出运导致影响委托人正常生产情况，则由委托人酌情扣除服务商缴纳的部分或全部保证金（客观天气原因等不可抗力因素除外）</w:t>
      </w:r>
      <w:r>
        <w:rPr>
          <w:rFonts w:hint="eastAsia"/>
          <w:kern w:val="0"/>
        </w:rPr>
        <w:t>，委托人有权不支付任何处置款，服务商不得提任何异议，包括不限于要求支付处置款或其他索赔等。</w:t>
      </w:r>
    </w:p>
    <w:p w14:paraId="59D5BD7C">
      <w:pPr>
        <w:ind w:firstLine="482"/>
      </w:pPr>
      <w:bookmarkStart w:id="5" w:name="_Toc20875"/>
      <w:r>
        <w:rPr>
          <w:rFonts w:hint="eastAsia"/>
        </w:rPr>
        <w:t>八、报价人资格要求</w:t>
      </w:r>
      <w:bookmarkEnd w:id="5"/>
    </w:p>
    <w:p w14:paraId="77D33421">
      <w:pPr>
        <w:ind w:firstLine="482"/>
      </w:pPr>
      <w:r>
        <w:rPr>
          <w:rFonts w:hint="eastAsia"/>
        </w:rPr>
        <w:t>1</w:t>
      </w:r>
      <w:r>
        <w:t>.</w:t>
      </w:r>
      <w:r>
        <w:rPr>
          <w:rFonts w:hint="eastAsia"/>
        </w:rPr>
        <w:t>本次公开询价要求报价人具有独立法人资格，具有与本次询价项目相应的资格能力，具备合法、有效的营业执照资质。</w:t>
      </w:r>
    </w:p>
    <w:p w14:paraId="7C83E061">
      <w:pPr>
        <w:pStyle w:val="10"/>
        <w:ind w:firstLine="482"/>
      </w:pPr>
      <w:r>
        <w:t xml:space="preserve">2. </w:t>
      </w:r>
      <w:r>
        <w:rPr>
          <w:rFonts w:hint="eastAsia"/>
        </w:rPr>
        <w:t>本次公开询价不接受联合体投标。</w:t>
      </w:r>
    </w:p>
    <w:p w14:paraId="6A43D5F5">
      <w:pPr>
        <w:pStyle w:val="10"/>
        <w:ind w:firstLine="482"/>
      </w:pPr>
      <w:r>
        <w:t>3.</w:t>
      </w:r>
      <w:r>
        <w:rPr>
          <w:rFonts w:hint="eastAsia"/>
        </w:rPr>
        <w:t>其他：</w:t>
      </w:r>
    </w:p>
    <w:p w14:paraId="4774076C">
      <w:pPr>
        <w:pStyle w:val="10"/>
        <w:ind w:firstLine="482"/>
      </w:pPr>
      <w:r>
        <w:rPr>
          <w:rFonts w:hint="eastAsia"/>
        </w:rPr>
        <w:t>（1）需提供泥饼处理方式证明文件或与泥饼接收单位签订的合同，接收量需满足对应询价量。</w:t>
      </w:r>
    </w:p>
    <w:p w14:paraId="494D97E5">
      <w:pPr>
        <w:pStyle w:val="10"/>
        <w:ind w:firstLine="482"/>
      </w:pPr>
      <w:r>
        <w:rPr>
          <w:rFonts w:hint="eastAsia"/>
        </w:rPr>
        <w:t>（2）如处理涉及海上围填作业须提供在海事备案的水上水下作业许可证明。</w:t>
      </w:r>
    </w:p>
    <w:p w14:paraId="40C907FB">
      <w:pPr>
        <w:pStyle w:val="10"/>
        <w:ind w:firstLine="482"/>
      </w:pPr>
      <w:r>
        <w:rPr>
          <w:rFonts w:hint="eastAsia"/>
        </w:rPr>
        <w:t>4</w:t>
      </w:r>
      <w:r>
        <w:t>.</w:t>
      </w:r>
      <w:r>
        <w:rPr>
          <w:rFonts w:hint="eastAsia"/>
        </w:rPr>
        <w:t>财务要求：</w:t>
      </w:r>
      <w:r>
        <w:t>/。</w:t>
      </w:r>
    </w:p>
    <w:p w14:paraId="7B43EF36">
      <w:pPr>
        <w:pStyle w:val="10"/>
        <w:ind w:firstLine="482"/>
      </w:pPr>
      <w:r>
        <w:rPr>
          <w:rFonts w:hint="eastAsia"/>
        </w:rPr>
        <w:t>5</w:t>
      </w:r>
      <w:r>
        <w:t>.</w:t>
      </w:r>
      <w:r>
        <w:rPr>
          <w:rFonts w:hint="eastAsia"/>
        </w:rPr>
        <w:t>业绩要求：</w:t>
      </w:r>
      <w:r>
        <w:t>/。</w:t>
      </w:r>
    </w:p>
    <w:p w14:paraId="783CF24F">
      <w:pPr>
        <w:pStyle w:val="10"/>
        <w:ind w:firstLine="482"/>
      </w:pPr>
      <w:r>
        <w:t>6.</w:t>
      </w:r>
      <w:r>
        <w:rPr>
          <w:rFonts w:hint="eastAsia"/>
        </w:rPr>
        <w:t>信誉要求：</w:t>
      </w:r>
    </w:p>
    <w:p w14:paraId="5528BF1A">
      <w:pPr>
        <w:pStyle w:val="10"/>
        <w:ind w:firstLine="482"/>
      </w:pPr>
      <w:r>
        <w:rPr>
          <w:rFonts w:hint="eastAsia"/>
        </w:rPr>
        <w:t>报价人及拟派项目负责人自</w:t>
      </w:r>
      <w:r>
        <w:t>2021年1月1日起至</w:t>
      </w:r>
      <w:r>
        <w:rPr>
          <w:rFonts w:hint="eastAsia"/>
        </w:rPr>
        <w:t>报价截止日止无行贿犯罪记录（以中国裁判文书网（</w:t>
      </w:r>
      <w:r>
        <w:t>http://wenshu.court.gov.cn/）查询结果为准，时间以法院判决书判决时间为准）。</w:t>
      </w:r>
    </w:p>
    <w:p w14:paraId="173832C5">
      <w:pPr>
        <w:pStyle w:val="10"/>
        <w:ind w:firstLine="482"/>
      </w:pPr>
      <w:r>
        <w:rPr>
          <w:rFonts w:hint="eastAsia"/>
        </w:rPr>
        <w:t>7</w:t>
      </w:r>
      <w:r>
        <w:t>.</w:t>
      </w:r>
      <w:r>
        <w:rPr>
          <w:rFonts w:hint="eastAsia"/>
        </w:rPr>
        <w:t>其他要求：</w:t>
      </w:r>
    </w:p>
    <w:p w14:paraId="62007FBD">
      <w:pPr>
        <w:pStyle w:val="10"/>
        <w:ind w:firstLine="482"/>
      </w:pPr>
      <w:r>
        <w:rPr>
          <w:rFonts w:hint="eastAsia"/>
        </w:rPr>
        <w:t>（</w:t>
      </w:r>
      <w:r>
        <w:t>1</w:t>
      </w:r>
      <w:r>
        <w:rPr>
          <w:rFonts w:hint="eastAsia"/>
        </w:rPr>
        <w:t>）与报价人存在利害关系可能影响公开询价公正性的法人、其他组织或者个人，不得参加投标；</w:t>
      </w:r>
      <w:r>
        <w:t xml:space="preserve"> </w:t>
      </w:r>
    </w:p>
    <w:p w14:paraId="48315D23">
      <w:pPr>
        <w:pStyle w:val="10"/>
        <w:ind w:firstLine="482"/>
      </w:pPr>
      <w:r>
        <w:rPr>
          <w:rFonts w:hint="eastAsia"/>
        </w:rPr>
        <w:t>（</w:t>
      </w:r>
      <w:r>
        <w:t>2</w:t>
      </w:r>
      <w:r>
        <w:rPr>
          <w:rFonts w:hint="eastAsia"/>
        </w:rPr>
        <w:t>）报价人需提供至少</w:t>
      </w:r>
      <w:r>
        <w:t>1艘运输船只（海船）的证书文件，且证件在有限期内，</w:t>
      </w:r>
      <w:r>
        <w:rPr>
          <w:rFonts w:hint="eastAsia"/>
        </w:rPr>
        <w:t>若运输船只为外单位或个人的联营船只，应提供相应的船只租赁协议复印件或承运协议书。</w:t>
      </w:r>
    </w:p>
    <w:p w14:paraId="28CEDBA3">
      <w:pPr>
        <w:ind w:firstLine="482"/>
      </w:pPr>
      <w:bookmarkStart w:id="6" w:name="_Toc11871"/>
      <w:r>
        <w:rPr>
          <w:rFonts w:hint="eastAsia"/>
        </w:rPr>
        <w:t>九：询价保证金</w:t>
      </w:r>
    </w:p>
    <w:p w14:paraId="22CCC07A">
      <w:pPr>
        <w:ind w:firstLine="482"/>
      </w:pPr>
      <w:r>
        <w:rPr>
          <w:rFonts w:hint="eastAsia"/>
        </w:rPr>
        <w:t>询价保证金为人民币</w:t>
      </w:r>
      <w:r>
        <w:rPr>
          <w:rFonts w:hint="eastAsia"/>
          <w:u w:val="single"/>
        </w:rPr>
        <w:t xml:space="preserve"> 5</w:t>
      </w:r>
      <w:r>
        <w:rPr>
          <w:rFonts w:hint="eastAsia"/>
        </w:rPr>
        <w:t>万元整，须由询价人通过公司银行账户于</w:t>
      </w:r>
      <w:r>
        <w:rPr>
          <w:rFonts w:hint="eastAsia"/>
          <w:u w:val="single"/>
        </w:rPr>
        <w:t xml:space="preserve"> 2024</w:t>
      </w:r>
      <w:r>
        <w:rPr>
          <w:rFonts w:hint="eastAsia"/>
        </w:rPr>
        <w:t>年</w:t>
      </w:r>
      <w:r>
        <w:rPr>
          <w:u w:val="single"/>
        </w:rPr>
        <w:t>8</w:t>
      </w:r>
      <w:r>
        <w:rPr>
          <w:rFonts w:hint="eastAsia"/>
          <w:u w:val="single"/>
        </w:rPr>
        <w:t xml:space="preserve"> </w:t>
      </w:r>
      <w:r>
        <w:rPr>
          <w:rFonts w:hint="eastAsia"/>
        </w:rPr>
        <w:t>月</w:t>
      </w:r>
      <w:r>
        <w:rPr>
          <w:rFonts w:hint="eastAsia"/>
          <w:u w:val="single"/>
        </w:rPr>
        <w:t xml:space="preserve"> </w:t>
      </w:r>
      <w:r>
        <w:rPr>
          <w:u w:val="single"/>
        </w:rPr>
        <w:t>18</w:t>
      </w:r>
      <w:r>
        <w:rPr>
          <w:rFonts w:hint="eastAsia"/>
        </w:rPr>
        <w:t>日</w:t>
      </w:r>
      <w:r>
        <w:rPr>
          <w:rFonts w:hint="eastAsia"/>
          <w:u w:val="single"/>
        </w:rPr>
        <w:t xml:space="preserve"> 12 </w:t>
      </w:r>
      <w:r>
        <w:rPr>
          <w:rFonts w:hint="eastAsia"/>
        </w:rPr>
        <w:t>时之前打至委托人指定账户，并注明款项用途：振诚矿业泥饼询价保证金，逾期不受理。</w:t>
      </w:r>
    </w:p>
    <w:p w14:paraId="2400CE01">
      <w:pPr>
        <w:ind w:firstLine="482"/>
      </w:pPr>
      <w:r>
        <w:rPr>
          <w:rFonts w:hint="eastAsia"/>
        </w:rPr>
        <w:t>委托人保证金账号：</w:t>
      </w:r>
    </w:p>
    <w:p w14:paraId="4DEBD35B">
      <w:pPr>
        <w:ind w:firstLine="482"/>
      </w:pPr>
      <w:r>
        <w:rPr>
          <w:rFonts w:hint="eastAsia"/>
        </w:rPr>
        <w:t>账户名称:宁波振诚矿业有限公司</w:t>
      </w:r>
    </w:p>
    <w:p w14:paraId="6B181F79">
      <w:pPr>
        <w:ind w:firstLine="482"/>
      </w:pPr>
      <w:r>
        <w:rPr>
          <w:rFonts w:hint="eastAsia"/>
        </w:rPr>
        <w:t>开户银行：中国建设银行宁波市北仑区大榭支行</w:t>
      </w:r>
    </w:p>
    <w:p w14:paraId="1AA922FD">
      <w:pPr>
        <w:ind w:firstLine="482"/>
      </w:pPr>
      <w:r>
        <w:rPr>
          <w:rFonts w:hint="eastAsia"/>
        </w:rPr>
        <w:t>银行账户：33150198414300000716</w:t>
      </w:r>
    </w:p>
    <w:p w14:paraId="65B002FF">
      <w:pPr>
        <w:ind w:firstLine="482"/>
      </w:pPr>
      <w:r>
        <w:rPr>
          <w:rFonts w:hint="eastAsia"/>
        </w:rPr>
        <w:t>十、询价文件的递交</w:t>
      </w:r>
      <w:bookmarkEnd w:id="6"/>
    </w:p>
    <w:p w14:paraId="2C6FEE98">
      <w:pPr>
        <w:ind w:firstLine="482"/>
      </w:pPr>
      <w:r>
        <w:rPr>
          <w:rFonts w:hint="eastAsia"/>
        </w:rPr>
        <w:t>1、询价文件递交截止时间：</w:t>
      </w:r>
      <w:r>
        <w:rPr>
          <w:rFonts w:hint="eastAsia"/>
          <w:u w:val="single"/>
        </w:rPr>
        <w:t xml:space="preserve"> 2024 年</w:t>
      </w:r>
      <w:r>
        <w:rPr>
          <w:u w:val="single"/>
        </w:rPr>
        <w:t>8</w:t>
      </w:r>
      <w:r>
        <w:rPr>
          <w:rFonts w:hint="eastAsia"/>
          <w:u w:val="single"/>
        </w:rPr>
        <w:t>月</w:t>
      </w:r>
      <w:r>
        <w:rPr>
          <w:u w:val="single"/>
        </w:rPr>
        <w:t>18</w:t>
      </w:r>
      <w:r>
        <w:rPr>
          <w:rFonts w:hint="eastAsia"/>
          <w:u w:val="single"/>
        </w:rPr>
        <w:t xml:space="preserve"> 日 14时</w:t>
      </w:r>
      <w:r>
        <w:rPr>
          <w:rFonts w:hint="eastAsia"/>
        </w:rPr>
        <w:t>，询价人应于当日14时前将询价文件递交至宁波振诚矿业有限公司。</w:t>
      </w:r>
    </w:p>
    <w:p w14:paraId="5D20FDA8">
      <w:pPr>
        <w:pStyle w:val="17"/>
      </w:pPr>
      <w:r>
        <w:rPr>
          <w:rFonts w:hint="eastAsia"/>
        </w:rPr>
        <w:t>询价文件递交方式：采用邮件方式，</w:t>
      </w:r>
      <w:r>
        <w:fldChar w:fldCharType="begin"/>
      </w:r>
      <w:r>
        <w:instrText xml:space="preserve"> HYPERLINK "mailto:报价人应在递交截止时间前将报价文件递交至zckyxszb@itg.com.cn" </w:instrText>
      </w:r>
      <w:r>
        <w:fldChar w:fldCharType="separate"/>
      </w:r>
      <w:r>
        <w:rPr>
          <w:rStyle w:val="15"/>
        </w:rPr>
        <w:t>报价人</w:t>
      </w:r>
      <w:r>
        <w:rPr>
          <w:rStyle w:val="15"/>
          <w:rFonts w:hint="eastAsia"/>
        </w:rPr>
        <w:t>应在递交截止时间前将报价文件递交至zckyxszb</w:t>
      </w:r>
      <w:r>
        <w:rPr>
          <w:rStyle w:val="15"/>
        </w:rPr>
        <w:t>@itg.com.cn</w:t>
      </w:r>
      <w:r>
        <w:rPr>
          <w:rStyle w:val="15"/>
        </w:rPr>
        <w:fldChar w:fldCharType="end"/>
      </w:r>
      <w:r>
        <w:rPr>
          <w:rFonts w:hint="eastAsia"/>
        </w:rPr>
        <w:t>（最好通过授权委托书中的授权邮箱发送；若非通过授权委托书中的授权邮箱，则发送报价文件的邮箱也将视为报价人授权邮箱，其效果与授权委托书中授权邮箱效果一致）。报价人应充分考虑邮件发送可能发生的意外情况，确保报价文件能按时送达。</w:t>
      </w:r>
    </w:p>
    <w:p w14:paraId="55AFF7F6">
      <w:pPr>
        <w:pStyle w:val="17"/>
      </w:pPr>
      <w:r>
        <w:rPr>
          <w:rFonts w:hint="eastAsia"/>
        </w:rPr>
        <w:t>2、报价文件应用不褪色的材料书写或打印，逐页加盖报价人公章（本页正文内容已加盖单位公章的除外）</w:t>
      </w:r>
    </w:p>
    <w:p w14:paraId="5AC881B7">
      <w:pPr>
        <w:ind w:firstLine="482"/>
      </w:pPr>
      <w:r>
        <w:rPr>
          <w:rFonts w:hint="eastAsia"/>
        </w:rPr>
        <w:t>3、询价会议：委托人定于</w:t>
      </w:r>
      <w:r>
        <w:rPr>
          <w:rFonts w:hint="eastAsia"/>
          <w:u w:val="single"/>
        </w:rPr>
        <w:t xml:space="preserve"> 2024 </w:t>
      </w:r>
      <w:r>
        <w:rPr>
          <w:rFonts w:hint="eastAsia"/>
        </w:rPr>
        <w:t>年</w:t>
      </w:r>
      <w:r>
        <w:rPr>
          <w:u w:val="single"/>
        </w:rPr>
        <w:t>8</w:t>
      </w:r>
      <w:r>
        <w:rPr>
          <w:rFonts w:hint="eastAsia"/>
          <w:u w:val="single"/>
        </w:rPr>
        <w:t xml:space="preserve"> </w:t>
      </w:r>
      <w:r>
        <w:rPr>
          <w:rFonts w:hint="eastAsia"/>
        </w:rPr>
        <w:t>月</w:t>
      </w:r>
      <w:r>
        <w:rPr>
          <w:u w:val="single"/>
        </w:rPr>
        <w:t>19</w:t>
      </w:r>
      <w:r>
        <w:rPr>
          <w:rFonts w:hint="eastAsia"/>
          <w:u w:val="single"/>
        </w:rPr>
        <w:t xml:space="preserve"> </w:t>
      </w:r>
      <w:r>
        <w:rPr>
          <w:rFonts w:hint="eastAsia"/>
        </w:rPr>
        <w:t>日</w:t>
      </w:r>
      <w:r>
        <w:rPr>
          <w:rFonts w:hint="eastAsia"/>
          <w:u w:val="single"/>
        </w:rPr>
        <w:t>14</w:t>
      </w:r>
      <w:r>
        <w:rPr>
          <w:rFonts w:hint="eastAsia"/>
        </w:rPr>
        <w:t>时在宁波振诚矿业有限公司会议室举行询价会议，将不组织现场询价会议，所有报价人的法定代表人/负责人或其委托代理人无需到场。逾期送达的或者未送达指定地点的报价文件，委托人不予受理。</w:t>
      </w:r>
    </w:p>
    <w:p w14:paraId="59253227">
      <w:pPr>
        <w:ind w:firstLine="482"/>
      </w:pPr>
      <w:r>
        <w:rPr>
          <w:rFonts w:hint="eastAsia"/>
        </w:rPr>
        <w:t>4、以上时间、地点如有变化，以另行通知为准。</w:t>
      </w:r>
    </w:p>
    <w:p w14:paraId="0301F8DC">
      <w:pPr>
        <w:pStyle w:val="17"/>
      </w:pPr>
      <w:r>
        <w:rPr>
          <w:rFonts w:hint="eastAsia"/>
        </w:rPr>
        <w:t>5、询价公告发布后，委托人仍享有在询价会议正式开始前撤回询价的权利。委托人有权根据实际情况对询价资料进行澄清、修正或补充，询价文件的修改内容作为询价文件的组成部分，具有约束作用。报价人参加询价的，均被视为已经知悉并接受认可该修正或补充。当询价文件的澄清、修正或补充等在同一内容的表述上不一致时，以更正文件为准。</w:t>
      </w:r>
    </w:p>
    <w:p w14:paraId="7DB4B89B">
      <w:pPr>
        <w:ind w:firstLine="482"/>
      </w:pPr>
      <w:bookmarkStart w:id="7" w:name="_Toc6870"/>
      <w:r>
        <w:rPr>
          <w:rFonts w:hint="eastAsia"/>
        </w:rPr>
        <w:t>十一、询价规则</w:t>
      </w:r>
      <w:bookmarkEnd w:id="7"/>
    </w:p>
    <w:p w14:paraId="191B045B">
      <w:pPr>
        <w:ind w:firstLine="482"/>
      </w:pPr>
      <w:r>
        <w:rPr>
          <w:rFonts w:hint="eastAsia"/>
        </w:rPr>
        <w:t>委托人通过对比报价单位单价报价金额（含税）由低到高排序，最终采用单价报价最低法确定并推荐中标人。若出现最低价有两家及以上相同的情况则同时中标。</w:t>
      </w:r>
    </w:p>
    <w:p w14:paraId="3C82CCC8">
      <w:pPr>
        <w:pStyle w:val="17"/>
      </w:pPr>
      <w:r>
        <w:rPr>
          <w:rFonts w:hint="eastAsia"/>
        </w:rPr>
        <w:t>十二、</w:t>
      </w:r>
      <w:bookmarkStart w:id="8" w:name="_Hlk120211932"/>
      <w:r>
        <w:rPr>
          <w:rFonts w:hint="eastAsia"/>
        </w:rPr>
        <w:t>报价人一经报价视同已全部阅读、充分理解并完全同意本询价相关合同、公告等所有内容，尤其是关于免责条款的相关法律后果，不再得提任何异议</w:t>
      </w:r>
      <w:bookmarkEnd w:id="8"/>
      <w:r>
        <w:rPr>
          <w:rFonts w:hint="eastAsia"/>
        </w:rPr>
        <w:t>。</w:t>
      </w:r>
    </w:p>
    <w:p w14:paraId="00F6F791">
      <w:pPr>
        <w:ind w:firstLine="482"/>
      </w:pPr>
      <w:r>
        <w:rPr>
          <w:rFonts w:hint="eastAsia"/>
        </w:rPr>
        <w:t>十三、签约</w:t>
      </w:r>
    </w:p>
    <w:p w14:paraId="1D84202A">
      <w:pPr>
        <w:pStyle w:val="17"/>
      </w:pPr>
      <w:r>
        <w:t>1</w:t>
      </w:r>
      <w:r>
        <w:rPr>
          <w:rFonts w:hint="eastAsia"/>
        </w:rPr>
        <w:t>、委托人在报价有效期内以电子邮件方式向服务商发出成交通知。通知书送达服务商《授权委托书及送达地址确认书》记载的代理人联系地址、电话、邮箱任一个，视为送达。双方合同自成交通知送达时起成立。</w:t>
      </w:r>
    </w:p>
    <w:p w14:paraId="70D29E5C">
      <w:pPr>
        <w:pStyle w:val="17"/>
      </w:pPr>
      <w:r>
        <w:rPr>
          <w:rFonts w:hint="eastAsia"/>
        </w:rPr>
        <w:t>服务商须自委托人送达成交通知后一个工作日内到委托人住所地完成合同书签订事宜。未按期执行，委托人可以选择继续履行合同，也可以解除合同，另选其他报价人作为服务商，或再行询价。</w:t>
      </w:r>
    </w:p>
    <w:p w14:paraId="5B12101E">
      <w:pPr>
        <w:ind w:firstLine="482"/>
      </w:pPr>
      <w:bookmarkStart w:id="9" w:name="_Toc7953"/>
      <w:r>
        <w:rPr>
          <w:rFonts w:hint="eastAsia"/>
        </w:rPr>
        <w:t>十四、发布公告的媒介</w:t>
      </w:r>
      <w:bookmarkEnd w:id="9"/>
    </w:p>
    <w:p w14:paraId="5F01254A">
      <w:pPr>
        <w:ind w:firstLine="482"/>
      </w:pPr>
      <w:r>
        <w:rPr>
          <w:rFonts w:hint="eastAsia"/>
        </w:rPr>
        <w:t>本次询价公告在厦门国贸集团股份有限公司网站（www.itg.com.cn）发布。</w:t>
      </w:r>
    </w:p>
    <w:p w14:paraId="4A007248">
      <w:pPr>
        <w:ind w:firstLine="482"/>
      </w:pPr>
      <w:bookmarkStart w:id="10" w:name="_Toc5679"/>
      <w:r>
        <w:rPr>
          <w:rFonts w:hint="eastAsia"/>
        </w:rPr>
        <w:t>十五、委托人接受和发送询价文件联系方式</w:t>
      </w:r>
      <w:bookmarkEnd w:id="10"/>
    </w:p>
    <w:p w14:paraId="0E2D0B4D">
      <w:pPr>
        <w:ind w:firstLine="482"/>
      </w:pPr>
      <w:r>
        <w:rPr>
          <w:rFonts w:hint="eastAsia"/>
        </w:rPr>
        <w:t>联系人：王女士</w:t>
      </w:r>
    </w:p>
    <w:p w14:paraId="711745F6">
      <w:pPr>
        <w:pStyle w:val="17"/>
      </w:pPr>
      <w:r>
        <w:rPr>
          <w:rFonts w:hint="eastAsia"/>
        </w:rPr>
        <w:t>电话：0574-</w:t>
      </w:r>
      <w:r>
        <w:t>56265756</w:t>
      </w:r>
    </w:p>
    <w:p w14:paraId="24E3E907">
      <w:pPr>
        <w:ind w:firstLine="482"/>
      </w:pPr>
      <w:r>
        <w:rPr>
          <w:rFonts w:hint="eastAsia"/>
        </w:rPr>
        <w:t>地址：宁波市北仑区大榭街道滨海东路12号</w:t>
      </w:r>
    </w:p>
    <w:p w14:paraId="566F725B">
      <w:pPr>
        <w:ind w:firstLine="482"/>
      </w:pPr>
      <w:r>
        <w:rPr>
          <w:rFonts w:hint="eastAsia"/>
        </w:rPr>
        <w:t>邮箱：</w:t>
      </w:r>
      <w:r>
        <w:fldChar w:fldCharType="begin"/>
      </w:r>
      <w:r>
        <w:instrText xml:space="preserve"> HYPERLINK "mailto:hanjinlei1@itg.com.cn" </w:instrText>
      </w:r>
      <w:r>
        <w:fldChar w:fldCharType="separate"/>
      </w:r>
      <w:r>
        <w:rPr>
          <w:rFonts w:hint="eastAsia"/>
        </w:rPr>
        <w:t>zckyxszb@itg.com.cn</w:t>
      </w:r>
      <w:r>
        <w:rPr>
          <w:rFonts w:hint="eastAsia"/>
        </w:rPr>
        <w:fldChar w:fldCharType="end"/>
      </w:r>
    </w:p>
    <w:p w14:paraId="39E08A76">
      <w:pPr>
        <w:pStyle w:val="17"/>
      </w:pPr>
      <w:bookmarkStart w:id="11" w:name="_Toc120781446"/>
    </w:p>
    <w:p w14:paraId="762CABFA">
      <w:pPr>
        <w:pStyle w:val="17"/>
      </w:pPr>
      <w:bookmarkStart w:id="12" w:name="_Toc151304569"/>
      <w:r>
        <w:rPr>
          <w:rFonts w:hint="eastAsia"/>
        </w:rPr>
        <w:t xml:space="preserve">第二章 </w:t>
      </w:r>
      <w:r>
        <w:t xml:space="preserve">  </w:t>
      </w:r>
      <w:r>
        <w:rPr>
          <w:rFonts w:hint="eastAsia"/>
        </w:rPr>
        <w:t>询价文件模板</w:t>
      </w:r>
      <w:bookmarkEnd w:id="11"/>
      <w:bookmarkEnd w:id="12"/>
    </w:p>
    <w:p w14:paraId="2ACE913B">
      <w:pPr>
        <w:ind w:firstLine="482"/>
      </w:pPr>
      <w:bookmarkStart w:id="13" w:name="_Toc17240"/>
      <w:r>
        <w:rPr>
          <w:rFonts w:hint="eastAsia"/>
        </w:rPr>
        <w:t>附件</w:t>
      </w:r>
      <w:bookmarkEnd w:id="13"/>
      <w:r>
        <w:rPr>
          <w:rFonts w:hint="eastAsia"/>
        </w:rPr>
        <w:t>一</w:t>
      </w:r>
    </w:p>
    <w:p w14:paraId="51A63E34">
      <w:pPr>
        <w:ind w:firstLine="482"/>
      </w:pPr>
      <w:bookmarkStart w:id="14" w:name="_Toc27266"/>
      <w:r>
        <w:rPr>
          <w:rFonts w:hint="eastAsia"/>
        </w:rPr>
        <w:t>授权委托书及送达地址确认书</w:t>
      </w:r>
      <w:bookmarkEnd w:id="14"/>
    </w:p>
    <w:p w14:paraId="71AD2C73">
      <w:pPr>
        <w:ind w:firstLine="482"/>
      </w:pPr>
      <w:r>
        <w:rPr>
          <w:rFonts w:hint="eastAsia"/>
        </w:rPr>
        <w:t>致宁波振诚矿业有限公司：</w:t>
      </w:r>
    </w:p>
    <w:p w14:paraId="1B8F36A2">
      <w:pPr>
        <w:ind w:firstLine="482"/>
      </w:pPr>
      <w:r>
        <w:rPr>
          <w:rFonts w:hint="eastAsia"/>
        </w:rPr>
        <w:t xml:space="preserve">我司 </w:t>
      </w:r>
      <w:r>
        <w:t xml:space="preserve">               </w:t>
      </w:r>
      <w:r>
        <w:rPr>
          <w:rFonts w:hint="eastAsia"/>
        </w:rPr>
        <w:t xml:space="preserve">、本人   （姓名）   系     （询价单位名称）    的法定代表人/负责人，现委托    （姓名【备注：可法定代表人/负责人自己】）   </w:t>
      </w:r>
      <w:r>
        <w:t xml:space="preserve"> </w:t>
      </w:r>
      <w:r>
        <w:rPr>
          <w:rFonts w:hint="eastAsia"/>
        </w:rPr>
        <w:t>、职务：        、联系电话：            、联系邮箱                、联系地址：                 为我司代理人，代表我司处理贵司组织的编号为NBZCNB</w:t>
      </w:r>
      <w:r>
        <w:rPr>
          <w:rFonts w:hint="eastAsia"/>
          <w:lang w:val="en-US" w:eastAsia="zh-CN"/>
        </w:rPr>
        <w:t>ZB</w:t>
      </w:r>
      <w:r>
        <w:rPr>
          <w:rFonts w:hint="eastAsia"/>
        </w:rPr>
        <w:t>202400</w:t>
      </w:r>
      <w:r>
        <w:rPr>
          <w:rFonts w:hint="eastAsia"/>
          <w:lang w:val="en-US" w:eastAsia="zh-CN"/>
        </w:rPr>
        <w:t>2</w:t>
      </w:r>
      <w:r>
        <w:rPr>
          <w:rFonts w:hint="eastAsia"/>
        </w:rPr>
        <w:t>的《宁波振诚矿业有限公司穿鼻岛矿泥饼询价项目询价公告》的询价项目有关一切工作，包括但不限于报价、签约及履约等。代理人签署、以上述联系电话或联系邮箱或联系地址澄清、确认、递交、撤回、修改、接收任何与报价文件、签订合同和处理报价有关一切事宜，我司均允以认可并承担全部责任。</w:t>
      </w:r>
    </w:p>
    <w:p w14:paraId="602FAC42">
      <w:pPr>
        <w:ind w:firstLine="482"/>
      </w:pPr>
      <w:r>
        <w:rPr>
          <w:rFonts w:hint="eastAsia"/>
        </w:rPr>
        <w:t>代理人无转委托权。</w:t>
      </w:r>
    </w:p>
    <w:p w14:paraId="1FF03DCA">
      <w:pPr>
        <w:ind w:firstLine="482"/>
      </w:pPr>
      <w:r>
        <w:rPr>
          <w:rFonts w:hint="eastAsia"/>
        </w:rPr>
        <w:t>我司保证函中所载代理人的联系地址、电话、邮箱等真实有效，该联系地址亦为司法机关相关诉讼、执行等法律文书的送达地址，贵司向上述地址寄送后三日即视为送达。相关地址如有变更，我司应当重新签署地址变更确认书并及时书面通知贵司；否则，有关通知、法律文书等未能送达的责任及后果由我司承担。</w:t>
      </w:r>
    </w:p>
    <w:p w14:paraId="5E7F31BE">
      <w:pPr>
        <w:ind w:firstLine="482"/>
      </w:pPr>
      <w:r>
        <w:rPr>
          <w:rFonts w:hint="eastAsia"/>
        </w:rPr>
        <w:t>附：法定代表人身份证复印件及委托代理人身份证复印件并加盖公章。</w:t>
      </w:r>
    </w:p>
    <w:p w14:paraId="50A42B2D">
      <w:pPr>
        <w:ind w:firstLine="482"/>
      </w:pPr>
      <w:r>
        <w:rPr>
          <w:rFonts w:hint="eastAsia"/>
        </w:rPr>
        <w:t xml:space="preserve">竞 </w:t>
      </w:r>
      <w:r>
        <w:t xml:space="preserve"> </w:t>
      </w:r>
      <w:r>
        <w:rPr>
          <w:rFonts w:hint="eastAsia"/>
        </w:rPr>
        <w:t xml:space="preserve">价  人：           （机打公司名称并盖公章）          </w:t>
      </w:r>
    </w:p>
    <w:p w14:paraId="45193F6E">
      <w:pPr>
        <w:ind w:firstLine="482"/>
      </w:pPr>
      <w:r>
        <w:rPr>
          <w:rFonts w:hint="eastAsia"/>
        </w:rPr>
        <w:t xml:space="preserve">法定代表人：（机打法定代表人名字并由法定代表人签字、附身份证复印件）  </w:t>
      </w:r>
    </w:p>
    <w:p w14:paraId="74A32FE1">
      <w:pPr>
        <w:ind w:firstLine="482"/>
      </w:pPr>
      <w:r>
        <w:rPr>
          <w:rFonts w:hint="eastAsia"/>
        </w:rPr>
        <w:t xml:space="preserve">身份证号码：                         </w:t>
      </w:r>
      <w:r>
        <w:t xml:space="preserve">              </w:t>
      </w:r>
      <w:r>
        <w:rPr>
          <w:rFonts w:hint="eastAsia"/>
        </w:rPr>
        <w:t xml:space="preserve">    </w:t>
      </w:r>
      <w:r>
        <w:t xml:space="preserve"> </w:t>
      </w:r>
      <w:r>
        <w:rPr>
          <w:rFonts w:hint="eastAsia"/>
        </w:rPr>
        <w:t xml:space="preserve"> </w:t>
      </w:r>
    </w:p>
    <w:p w14:paraId="3370D189">
      <w:pPr>
        <w:ind w:firstLine="482"/>
      </w:pPr>
      <w:r>
        <w:rPr>
          <w:rFonts w:hint="eastAsia"/>
        </w:rPr>
        <w:t xml:space="preserve">代理人：（机打代理人名字并代理人签字、附身份证复印件）          </w:t>
      </w:r>
    </w:p>
    <w:p w14:paraId="0A2345EC">
      <w:pPr>
        <w:ind w:firstLine="482"/>
      </w:pPr>
      <w:r>
        <w:rPr>
          <w:rFonts w:hint="eastAsia"/>
        </w:rPr>
        <w:t xml:space="preserve">身份证号码： 机打代理人名字并代理人签字、附身份证复印件）          </w:t>
      </w:r>
    </w:p>
    <w:p w14:paraId="063E1759">
      <w:pPr>
        <w:ind w:firstLine="482"/>
      </w:pPr>
      <w:r>
        <w:rPr>
          <w:rFonts w:hint="eastAsia"/>
        </w:rPr>
        <w:t xml:space="preserve">         年     月    日</w:t>
      </w:r>
    </w:p>
    <w:p w14:paraId="1712760B">
      <w:pPr>
        <w:ind w:firstLine="482"/>
      </w:pPr>
    </w:p>
    <w:p w14:paraId="3A474D20">
      <w:pPr>
        <w:ind w:firstLine="482"/>
      </w:pPr>
      <w:r>
        <w:rPr>
          <w:rFonts w:hint="eastAsia"/>
        </w:rPr>
        <w:t xml:space="preserve">附件二 </w:t>
      </w:r>
      <w:r>
        <w:t xml:space="preserve"> </w:t>
      </w:r>
      <w:r>
        <w:rPr>
          <w:rFonts w:hint="eastAsia"/>
        </w:rPr>
        <w:t>报价函表格式</w:t>
      </w:r>
    </w:p>
    <w:p w14:paraId="5C66A941">
      <w:pPr>
        <w:ind w:firstLine="482"/>
        <w:rPr>
          <w:rFonts w:hint="eastAsia" w:eastAsia="宋体"/>
          <w:lang w:eastAsia="zh-CN"/>
        </w:rPr>
      </w:pPr>
      <w:r>
        <w:rPr>
          <w:rFonts w:hint="eastAsia"/>
        </w:rPr>
        <w:t xml:space="preserve">                                           编号：NBZCNB</w:t>
      </w:r>
      <w:r>
        <w:rPr>
          <w:rFonts w:hint="eastAsia"/>
          <w:lang w:val="en-US" w:eastAsia="zh-CN"/>
        </w:rPr>
        <w:t>ZB</w:t>
      </w:r>
      <w:r>
        <w:rPr>
          <w:rFonts w:hint="eastAsia"/>
        </w:rPr>
        <w:t>202400</w:t>
      </w:r>
      <w:r>
        <w:rPr>
          <w:rFonts w:hint="eastAsia"/>
          <w:lang w:val="en-US" w:eastAsia="zh-CN"/>
        </w:rPr>
        <w:t>2</w:t>
      </w:r>
      <w:bookmarkStart w:id="15" w:name="_GoBack"/>
      <w:bookmarkEnd w:id="15"/>
    </w:p>
    <w:tbl>
      <w:tblPr>
        <w:tblStyle w:val="13"/>
        <w:tblW w:w="424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1"/>
        <w:gridCol w:w="1699"/>
        <w:gridCol w:w="1080"/>
        <w:gridCol w:w="3214"/>
      </w:tblGrid>
      <w:tr w14:paraId="76184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0" w:hRule="atLeast"/>
          <w:jc w:val="center"/>
        </w:trPr>
        <w:tc>
          <w:tcPr>
            <w:tcW w:w="857" w:type="pct"/>
            <w:vAlign w:val="center"/>
          </w:tcPr>
          <w:p w14:paraId="6977FA47">
            <w:pPr>
              <w:ind w:firstLine="482"/>
            </w:pPr>
            <w:r>
              <w:rPr>
                <w:rFonts w:hint="eastAsia"/>
              </w:rPr>
              <w:t>名称</w:t>
            </w:r>
          </w:p>
        </w:tc>
        <w:tc>
          <w:tcPr>
            <w:tcW w:w="1174" w:type="pct"/>
            <w:vAlign w:val="center"/>
          </w:tcPr>
          <w:p w14:paraId="3AC96390">
            <w:pPr>
              <w:ind w:firstLine="482"/>
            </w:pPr>
            <w:r>
              <w:rPr>
                <w:rFonts w:hint="eastAsia"/>
              </w:rPr>
              <w:t>含税单价</w:t>
            </w:r>
          </w:p>
          <w:p w14:paraId="5AFD691F">
            <w:pPr>
              <w:ind w:firstLine="482"/>
            </w:pPr>
            <w:r>
              <w:rPr>
                <w:rFonts w:hint="eastAsia"/>
              </w:rPr>
              <w:t>（元/吨）</w:t>
            </w:r>
          </w:p>
        </w:tc>
        <w:tc>
          <w:tcPr>
            <w:tcW w:w="746" w:type="pct"/>
            <w:vAlign w:val="center"/>
          </w:tcPr>
          <w:p w14:paraId="46B6B3FC">
            <w:pPr>
              <w:ind w:firstLine="482"/>
            </w:pPr>
            <w:r>
              <w:rPr>
                <w:rFonts w:hint="eastAsia"/>
              </w:rPr>
              <w:t>税率（%）</w:t>
            </w:r>
          </w:p>
        </w:tc>
        <w:tc>
          <w:tcPr>
            <w:tcW w:w="2221" w:type="pct"/>
            <w:vAlign w:val="center"/>
          </w:tcPr>
          <w:p w14:paraId="6A23AFB3">
            <w:pPr>
              <w:ind w:firstLine="482"/>
            </w:pPr>
            <w:r>
              <w:rPr>
                <w:rFonts w:hint="eastAsia"/>
              </w:rPr>
              <w:t>数量（吨）</w:t>
            </w:r>
          </w:p>
        </w:tc>
      </w:tr>
      <w:tr w14:paraId="638AD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857" w:type="pct"/>
            <w:vAlign w:val="center"/>
          </w:tcPr>
          <w:p w14:paraId="1C932B19">
            <w:pPr>
              <w:ind w:firstLine="482"/>
            </w:pPr>
            <w:r>
              <w:rPr>
                <w:rFonts w:hint="eastAsia"/>
              </w:rPr>
              <w:t>泥饼</w:t>
            </w:r>
          </w:p>
        </w:tc>
        <w:tc>
          <w:tcPr>
            <w:tcW w:w="1174" w:type="pct"/>
            <w:vAlign w:val="center"/>
          </w:tcPr>
          <w:p w14:paraId="54E91827">
            <w:pPr>
              <w:ind w:firstLine="482"/>
            </w:pPr>
          </w:p>
        </w:tc>
        <w:tc>
          <w:tcPr>
            <w:tcW w:w="746" w:type="pct"/>
            <w:vAlign w:val="center"/>
          </w:tcPr>
          <w:p w14:paraId="0D50613E">
            <w:pPr>
              <w:ind w:firstLine="482"/>
            </w:pPr>
          </w:p>
        </w:tc>
        <w:tc>
          <w:tcPr>
            <w:tcW w:w="2221" w:type="pct"/>
            <w:vAlign w:val="center"/>
          </w:tcPr>
          <w:p w14:paraId="5FAF4F87">
            <w:pPr>
              <w:ind w:firstLine="482"/>
            </w:pPr>
            <w:r>
              <w:rPr>
                <w:rFonts w:hint="eastAsia"/>
              </w:rPr>
              <w:t>（备注：与询价须数量一致）</w:t>
            </w:r>
          </w:p>
        </w:tc>
      </w:tr>
    </w:tbl>
    <w:p w14:paraId="615635EA">
      <w:pPr>
        <w:pStyle w:val="17"/>
      </w:pPr>
      <w:r>
        <w:rPr>
          <w:rFonts w:hint="eastAsia"/>
        </w:rPr>
        <w:t>本报价的有效期为自送达日起2个月。</w:t>
      </w:r>
    </w:p>
    <w:p w14:paraId="435F3A29">
      <w:pPr>
        <w:pStyle w:val="17"/>
      </w:pPr>
    </w:p>
    <w:p w14:paraId="3746FCCE">
      <w:pPr>
        <w:ind w:firstLine="482"/>
      </w:pPr>
      <w:r>
        <w:rPr>
          <w:rFonts w:hint="eastAsia"/>
        </w:rPr>
        <w:t>附件三 承诺函</w:t>
      </w:r>
    </w:p>
    <w:p w14:paraId="395D305F">
      <w:pPr>
        <w:pStyle w:val="17"/>
      </w:pPr>
    </w:p>
    <w:p w14:paraId="47157591">
      <w:pPr>
        <w:pStyle w:val="17"/>
      </w:pPr>
      <w:r>
        <w:rPr>
          <w:rFonts w:hint="eastAsia"/>
        </w:rPr>
        <w:t xml:space="preserve">致宁波振诚矿业有限公司： </w:t>
      </w:r>
      <w:r>
        <w:t xml:space="preserve">   </w:t>
      </w:r>
    </w:p>
    <w:p w14:paraId="1D4C1957">
      <w:pPr>
        <w:pStyle w:val="17"/>
      </w:pPr>
      <w:r>
        <w:rPr>
          <w:rFonts w:hint="eastAsia"/>
        </w:rPr>
        <w:t>我司已充分知悉穿鼻岛矿及泥饼处置的有关情况，知悉委托人供应货物受爆破、开采、生产、堆场、现场情况等多方面影响。我司一经报价视同已全部阅读、充分理解并完全同意、遵守本询价相关合同、询价须知、公告等所有内容，尤其是关于委托人免责条款及服务商责任的相关法律后果，均已得到贵司提示，并充分理解其含义，不得提任何异议。</w:t>
      </w:r>
    </w:p>
    <w:p w14:paraId="0B74D408">
      <w:pPr>
        <w:pStyle w:val="17"/>
      </w:pPr>
    </w:p>
    <w:p w14:paraId="1BF6FDF1">
      <w:pPr>
        <w:pStyle w:val="17"/>
      </w:pPr>
      <w:r>
        <w:rPr>
          <w:rFonts w:hint="eastAsia"/>
        </w:rPr>
        <w:t xml:space="preserve">竞 </w:t>
      </w:r>
      <w:r>
        <w:t xml:space="preserve"> </w:t>
      </w:r>
      <w:r>
        <w:rPr>
          <w:rFonts w:hint="eastAsia"/>
        </w:rPr>
        <w:t xml:space="preserve">价  人：           （机打公司名称并盖公章）          </w:t>
      </w:r>
    </w:p>
    <w:p w14:paraId="6D78C184">
      <w:pPr>
        <w:ind w:firstLine="482"/>
      </w:pPr>
      <w:r>
        <w:rPr>
          <w:rFonts w:hint="eastAsia"/>
        </w:rPr>
        <w:t xml:space="preserve">             年     月    日</w:t>
      </w:r>
    </w:p>
    <w:p w14:paraId="4CA4E348">
      <w:pPr>
        <w:ind w:firstLine="482"/>
      </w:pPr>
    </w:p>
    <w:p w14:paraId="6CB02495">
      <w:pPr>
        <w:ind w:firstLine="482"/>
      </w:pPr>
    </w:p>
    <w:p w14:paraId="3C7869C1">
      <w:pPr>
        <w:ind w:firstLine="482"/>
      </w:pPr>
      <w:r>
        <w:rPr>
          <w:rFonts w:hint="eastAsia"/>
        </w:rPr>
        <w:t>附件四 企业营业执照正副本复印件</w:t>
      </w:r>
    </w:p>
    <w:p w14:paraId="727DF43E">
      <w:pPr>
        <w:ind w:firstLine="482"/>
      </w:pPr>
    </w:p>
    <w:p w14:paraId="650FD446">
      <w:pPr>
        <w:ind w:firstLine="482"/>
      </w:pPr>
    </w:p>
    <w:p w14:paraId="2B4F750C">
      <w:pPr>
        <w:pStyle w:val="17"/>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2"/>
      </w:pPr>
      <w:r>
        <w:separator/>
      </w:r>
    </w:p>
  </w:endnote>
  <w:endnote w:type="continuationSeparator" w:id="1">
    <w:p>
      <w:pPr>
        <w:spacing w:line="240" w:lineRule="auto"/>
        <w:ind w:firstLine="4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382042"/>
    </w:sdtPr>
    <w:sdtContent>
      <w:sdt>
        <w:sdtPr>
          <w:id w:val="1728636285"/>
        </w:sdtPr>
        <w:sdtContent>
          <w:p w14:paraId="24CCB333">
            <w:pPr>
              <w:pStyle w:val="7"/>
              <w:ind w:firstLine="361"/>
            </w:pPr>
            <w:r>
              <w:rPr>
                <w:lang w:val="zh-CN"/>
              </w:rPr>
              <w:t xml:space="preserve"> </w:t>
            </w:r>
            <w:r>
              <w:rPr>
                <w:sz w:val="24"/>
                <w:szCs w:val="24"/>
              </w:rPr>
              <w:fldChar w:fldCharType="begin"/>
            </w:r>
            <w:r>
              <w:instrText xml:space="preserve">PAGE</w:instrText>
            </w:r>
            <w:r>
              <w:rPr>
                <w:sz w:val="24"/>
                <w:szCs w:val="24"/>
              </w:rPr>
              <w:fldChar w:fldCharType="separate"/>
            </w:r>
            <w:r>
              <w:rPr>
                <w:lang w:val="zh-CN"/>
              </w:rPr>
              <w:t>2</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rPr>
                <w:lang w:val="zh-CN"/>
              </w:rPr>
              <w:t>2</w:t>
            </w:r>
            <w:r>
              <w:rPr>
                <w:sz w:val="24"/>
                <w:szCs w:val="24"/>
              </w:rPr>
              <w:fldChar w:fldCharType="end"/>
            </w:r>
          </w:p>
        </w:sdtContent>
      </w:sdt>
    </w:sdtContent>
  </w:sdt>
  <w:p w14:paraId="5C036239">
    <w:pPr>
      <w:pStyle w:val="7"/>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5C62">
    <w:pPr>
      <w:pStyle w:val="7"/>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07EA">
    <w:pPr>
      <w:pStyle w:val="7"/>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2"/>
      </w:pPr>
      <w:r>
        <w:separator/>
      </w:r>
    </w:p>
  </w:footnote>
  <w:footnote w:type="continuationSeparator" w:id="1">
    <w:p>
      <w:pPr>
        <w:spacing w:line="360" w:lineRule="auto"/>
        <w:ind w:firstLine="48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1AE6">
    <w:pPr>
      <w:pStyle w:val="8"/>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F071">
    <w:pPr>
      <w:pStyle w:val="8"/>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61798">
    <w:pPr>
      <w:pStyle w:val="8"/>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78254"/>
    <w:multiLevelType w:val="singleLevel"/>
    <w:tmpl w:val="8C078254"/>
    <w:lvl w:ilvl="0" w:tentative="0">
      <w:start w:val="7"/>
      <w:numFmt w:val="chineseCounting"/>
      <w:suff w:val="nothing"/>
      <w:lvlText w:val="%1、"/>
      <w:lvlJc w:val="left"/>
      <w:rPr>
        <w:rFonts w:hint="eastAsia"/>
      </w:rPr>
    </w:lvl>
  </w:abstractNum>
  <w:abstractNum w:abstractNumId="1">
    <w:nsid w:val="C4E8F21D"/>
    <w:multiLevelType w:val="singleLevel"/>
    <w:tmpl w:val="C4E8F21D"/>
    <w:lvl w:ilvl="0" w:tentative="0">
      <w:start w:val="3"/>
      <w:numFmt w:val="chineseCounting"/>
      <w:suff w:val="nothing"/>
      <w:lvlText w:val="%1、"/>
      <w:lvlJc w:val="left"/>
      <w:rPr>
        <w:rFonts w:hint="eastAsia" w:ascii="宋体" w:hAnsi="宋体" w:eastAsia="宋体" w:cs="宋体"/>
      </w:rPr>
    </w:lvl>
  </w:abstractNum>
  <w:abstractNum w:abstractNumId="2">
    <w:nsid w:val="DBC485AC"/>
    <w:multiLevelType w:val="singleLevel"/>
    <w:tmpl w:val="DBC485AC"/>
    <w:lvl w:ilvl="0" w:tentative="0">
      <w:start w:val="4"/>
      <w:numFmt w:val="chineseCounting"/>
      <w:suff w:val="nothing"/>
      <w:lvlText w:val="%1、"/>
      <w:lvlJc w:val="left"/>
      <w:rPr>
        <w:rFonts w:hint="eastAsia" w:ascii="宋体" w:hAnsi="宋体" w:eastAsia="宋体" w:cs="宋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13921822"/>
    <w:rsid w:val="00013C3E"/>
    <w:rsid w:val="00016857"/>
    <w:rsid w:val="00020ACD"/>
    <w:rsid w:val="00021565"/>
    <w:rsid w:val="00026AF5"/>
    <w:rsid w:val="00035F66"/>
    <w:rsid w:val="00050A1D"/>
    <w:rsid w:val="00052750"/>
    <w:rsid w:val="00057684"/>
    <w:rsid w:val="000626FE"/>
    <w:rsid w:val="00065ABD"/>
    <w:rsid w:val="000761E4"/>
    <w:rsid w:val="00080A8C"/>
    <w:rsid w:val="00085CA6"/>
    <w:rsid w:val="00086A89"/>
    <w:rsid w:val="00094945"/>
    <w:rsid w:val="000A1D39"/>
    <w:rsid w:val="000A4AC3"/>
    <w:rsid w:val="000D2273"/>
    <w:rsid w:val="000D7744"/>
    <w:rsid w:val="000E1B27"/>
    <w:rsid w:val="00105599"/>
    <w:rsid w:val="0011383A"/>
    <w:rsid w:val="001153D0"/>
    <w:rsid w:val="00116678"/>
    <w:rsid w:val="00117255"/>
    <w:rsid w:val="00126603"/>
    <w:rsid w:val="00135DDC"/>
    <w:rsid w:val="0014113C"/>
    <w:rsid w:val="00160AA1"/>
    <w:rsid w:val="00166D65"/>
    <w:rsid w:val="00172865"/>
    <w:rsid w:val="00172ABF"/>
    <w:rsid w:val="001753EE"/>
    <w:rsid w:val="00187F82"/>
    <w:rsid w:val="00197D71"/>
    <w:rsid w:val="001B1AE4"/>
    <w:rsid w:val="001C1167"/>
    <w:rsid w:val="001E70A1"/>
    <w:rsid w:val="002111F0"/>
    <w:rsid w:val="0021343A"/>
    <w:rsid w:val="00215425"/>
    <w:rsid w:val="00220384"/>
    <w:rsid w:val="00223B12"/>
    <w:rsid w:val="00240E8C"/>
    <w:rsid w:val="0024181D"/>
    <w:rsid w:val="00246776"/>
    <w:rsid w:val="00247744"/>
    <w:rsid w:val="00247F96"/>
    <w:rsid w:val="00255A7E"/>
    <w:rsid w:val="00292FC7"/>
    <w:rsid w:val="00293EF9"/>
    <w:rsid w:val="002A5FAE"/>
    <w:rsid w:val="002A7684"/>
    <w:rsid w:val="002B30FD"/>
    <w:rsid w:val="002B6008"/>
    <w:rsid w:val="002B6D0E"/>
    <w:rsid w:val="002C7064"/>
    <w:rsid w:val="002D206E"/>
    <w:rsid w:val="002F378C"/>
    <w:rsid w:val="003075A3"/>
    <w:rsid w:val="003107B6"/>
    <w:rsid w:val="003166A2"/>
    <w:rsid w:val="003205BC"/>
    <w:rsid w:val="003318BD"/>
    <w:rsid w:val="00336743"/>
    <w:rsid w:val="00337839"/>
    <w:rsid w:val="00356178"/>
    <w:rsid w:val="00361BC0"/>
    <w:rsid w:val="00374BCD"/>
    <w:rsid w:val="00385C65"/>
    <w:rsid w:val="003A304C"/>
    <w:rsid w:val="003A70F5"/>
    <w:rsid w:val="003B7569"/>
    <w:rsid w:val="003C36AF"/>
    <w:rsid w:val="003E07D6"/>
    <w:rsid w:val="00400146"/>
    <w:rsid w:val="00410E17"/>
    <w:rsid w:val="00413770"/>
    <w:rsid w:val="00424E82"/>
    <w:rsid w:val="00434BC5"/>
    <w:rsid w:val="00440933"/>
    <w:rsid w:val="00452C19"/>
    <w:rsid w:val="00452FCC"/>
    <w:rsid w:val="00454259"/>
    <w:rsid w:val="0046550B"/>
    <w:rsid w:val="00466786"/>
    <w:rsid w:val="00473F55"/>
    <w:rsid w:val="00482516"/>
    <w:rsid w:val="00484B7C"/>
    <w:rsid w:val="004A1A64"/>
    <w:rsid w:val="004A2024"/>
    <w:rsid w:val="004A27D2"/>
    <w:rsid w:val="004A548C"/>
    <w:rsid w:val="004A62A8"/>
    <w:rsid w:val="004C02C3"/>
    <w:rsid w:val="004C5FB5"/>
    <w:rsid w:val="004C6C5B"/>
    <w:rsid w:val="004C6CB9"/>
    <w:rsid w:val="004C7F4E"/>
    <w:rsid w:val="004D5813"/>
    <w:rsid w:val="004E4902"/>
    <w:rsid w:val="004F1E4F"/>
    <w:rsid w:val="00500231"/>
    <w:rsid w:val="005057AA"/>
    <w:rsid w:val="00514268"/>
    <w:rsid w:val="00516BA3"/>
    <w:rsid w:val="00517863"/>
    <w:rsid w:val="00527FA4"/>
    <w:rsid w:val="00540FE6"/>
    <w:rsid w:val="00542372"/>
    <w:rsid w:val="0054637F"/>
    <w:rsid w:val="00551EEE"/>
    <w:rsid w:val="005538D3"/>
    <w:rsid w:val="00562A4F"/>
    <w:rsid w:val="0056769A"/>
    <w:rsid w:val="00567DD5"/>
    <w:rsid w:val="00571BB8"/>
    <w:rsid w:val="00571C5C"/>
    <w:rsid w:val="0057325E"/>
    <w:rsid w:val="005735AF"/>
    <w:rsid w:val="00577B5E"/>
    <w:rsid w:val="00585167"/>
    <w:rsid w:val="00595356"/>
    <w:rsid w:val="005A12F3"/>
    <w:rsid w:val="005A42E1"/>
    <w:rsid w:val="005C1ED3"/>
    <w:rsid w:val="005C6174"/>
    <w:rsid w:val="005D723B"/>
    <w:rsid w:val="006024DF"/>
    <w:rsid w:val="00604495"/>
    <w:rsid w:val="00604851"/>
    <w:rsid w:val="00615FA7"/>
    <w:rsid w:val="00635FD0"/>
    <w:rsid w:val="006468D9"/>
    <w:rsid w:val="0065017E"/>
    <w:rsid w:val="00656340"/>
    <w:rsid w:val="00676B09"/>
    <w:rsid w:val="00684544"/>
    <w:rsid w:val="00690C2A"/>
    <w:rsid w:val="0069230E"/>
    <w:rsid w:val="00692E88"/>
    <w:rsid w:val="00696B49"/>
    <w:rsid w:val="006A2CD1"/>
    <w:rsid w:val="006B4748"/>
    <w:rsid w:val="006B58BA"/>
    <w:rsid w:val="006C3026"/>
    <w:rsid w:val="006C4003"/>
    <w:rsid w:val="006D40E8"/>
    <w:rsid w:val="006E052D"/>
    <w:rsid w:val="006E4A62"/>
    <w:rsid w:val="006F6541"/>
    <w:rsid w:val="00703D45"/>
    <w:rsid w:val="007152B4"/>
    <w:rsid w:val="00715A6A"/>
    <w:rsid w:val="007230B3"/>
    <w:rsid w:val="00723938"/>
    <w:rsid w:val="0072539E"/>
    <w:rsid w:val="00726E16"/>
    <w:rsid w:val="0074533E"/>
    <w:rsid w:val="00752244"/>
    <w:rsid w:val="00785CBB"/>
    <w:rsid w:val="00786982"/>
    <w:rsid w:val="007909B7"/>
    <w:rsid w:val="007950CB"/>
    <w:rsid w:val="007A7F0C"/>
    <w:rsid w:val="007B0143"/>
    <w:rsid w:val="007B4EB9"/>
    <w:rsid w:val="007C2419"/>
    <w:rsid w:val="007C4218"/>
    <w:rsid w:val="007D07C6"/>
    <w:rsid w:val="007D235C"/>
    <w:rsid w:val="007D7B0A"/>
    <w:rsid w:val="008032F2"/>
    <w:rsid w:val="0081730D"/>
    <w:rsid w:val="00821A08"/>
    <w:rsid w:val="008269A2"/>
    <w:rsid w:val="008327AB"/>
    <w:rsid w:val="00864EF6"/>
    <w:rsid w:val="00880687"/>
    <w:rsid w:val="00886F58"/>
    <w:rsid w:val="00894A4C"/>
    <w:rsid w:val="008B6E3D"/>
    <w:rsid w:val="008C6CB8"/>
    <w:rsid w:val="008D13C9"/>
    <w:rsid w:val="008F0066"/>
    <w:rsid w:val="009162F3"/>
    <w:rsid w:val="009245D5"/>
    <w:rsid w:val="00937F51"/>
    <w:rsid w:val="00954928"/>
    <w:rsid w:val="00976DDF"/>
    <w:rsid w:val="009827CC"/>
    <w:rsid w:val="00987412"/>
    <w:rsid w:val="009C11D2"/>
    <w:rsid w:val="009C6BAC"/>
    <w:rsid w:val="009E0694"/>
    <w:rsid w:val="009F72CB"/>
    <w:rsid w:val="00A179B9"/>
    <w:rsid w:val="00A3067B"/>
    <w:rsid w:val="00A310A9"/>
    <w:rsid w:val="00A31531"/>
    <w:rsid w:val="00A321AF"/>
    <w:rsid w:val="00A331E9"/>
    <w:rsid w:val="00A35558"/>
    <w:rsid w:val="00A53B3A"/>
    <w:rsid w:val="00A558DE"/>
    <w:rsid w:val="00A75028"/>
    <w:rsid w:val="00A85093"/>
    <w:rsid w:val="00A9578A"/>
    <w:rsid w:val="00AB0221"/>
    <w:rsid w:val="00AB28E8"/>
    <w:rsid w:val="00AD1322"/>
    <w:rsid w:val="00AD75FC"/>
    <w:rsid w:val="00AE03C5"/>
    <w:rsid w:val="00AF3DD6"/>
    <w:rsid w:val="00AF48FA"/>
    <w:rsid w:val="00AF53F1"/>
    <w:rsid w:val="00B07C5D"/>
    <w:rsid w:val="00B12ACE"/>
    <w:rsid w:val="00B22FE5"/>
    <w:rsid w:val="00B25E83"/>
    <w:rsid w:val="00B30011"/>
    <w:rsid w:val="00B3140D"/>
    <w:rsid w:val="00B331F7"/>
    <w:rsid w:val="00B354F0"/>
    <w:rsid w:val="00B369E2"/>
    <w:rsid w:val="00B4422E"/>
    <w:rsid w:val="00B46AE1"/>
    <w:rsid w:val="00B55679"/>
    <w:rsid w:val="00B6084B"/>
    <w:rsid w:val="00B716CC"/>
    <w:rsid w:val="00B7438E"/>
    <w:rsid w:val="00B7571F"/>
    <w:rsid w:val="00B9110C"/>
    <w:rsid w:val="00B965C1"/>
    <w:rsid w:val="00BA0A2A"/>
    <w:rsid w:val="00BA24EB"/>
    <w:rsid w:val="00BA2F24"/>
    <w:rsid w:val="00BA408A"/>
    <w:rsid w:val="00BA65BD"/>
    <w:rsid w:val="00BD7842"/>
    <w:rsid w:val="00BE2CC9"/>
    <w:rsid w:val="00BE3E59"/>
    <w:rsid w:val="00BF1167"/>
    <w:rsid w:val="00BF73B6"/>
    <w:rsid w:val="00C30540"/>
    <w:rsid w:val="00C333F5"/>
    <w:rsid w:val="00C456CC"/>
    <w:rsid w:val="00C46C0A"/>
    <w:rsid w:val="00C67117"/>
    <w:rsid w:val="00C82254"/>
    <w:rsid w:val="00C84683"/>
    <w:rsid w:val="00CA50A5"/>
    <w:rsid w:val="00CB2DC4"/>
    <w:rsid w:val="00CB71A0"/>
    <w:rsid w:val="00CD3305"/>
    <w:rsid w:val="00CD6A54"/>
    <w:rsid w:val="00CE6489"/>
    <w:rsid w:val="00D161CA"/>
    <w:rsid w:val="00D22FF6"/>
    <w:rsid w:val="00D24BCF"/>
    <w:rsid w:val="00D272B3"/>
    <w:rsid w:val="00D337E5"/>
    <w:rsid w:val="00D43AFE"/>
    <w:rsid w:val="00D43E84"/>
    <w:rsid w:val="00D47ADF"/>
    <w:rsid w:val="00D61B82"/>
    <w:rsid w:val="00D82DDE"/>
    <w:rsid w:val="00D90781"/>
    <w:rsid w:val="00D92375"/>
    <w:rsid w:val="00DA0D12"/>
    <w:rsid w:val="00DA494B"/>
    <w:rsid w:val="00DB2272"/>
    <w:rsid w:val="00DB4098"/>
    <w:rsid w:val="00DB5134"/>
    <w:rsid w:val="00DC719B"/>
    <w:rsid w:val="00DD043D"/>
    <w:rsid w:val="00DD2CE4"/>
    <w:rsid w:val="00DD40C4"/>
    <w:rsid w:val="00DE6891"/>
    <w:rsid w:val="00DE75A4"/>
    <w:rsid w:val="00DF7D31"/>
    <w:rsid w:val="00E02668"/>
    <w:rsid w:val="00E236F1"/>
    <w:rsid w:val="00E34BAB"/>
    <w:rsid w:val="00E41F34"/>
    <w:rsid w:val="00E6525F"/>
    <w:rsid w:val="00E7125B"/>
    <w:rsid w:val="00E7305A"/>
    <w:rsid w:val="00E92101"/>
    <w:rsid w:val="00EA3561"/>
    <w:rsid w:val="00EC439E"/>
    <w:rsid w:val="00ED0644"/>
    <w:rsid w:val="00EE20DB"/>
    <w:rsid w:val="00EE645E"/>
    <w:rsid w:val="00F22081"/>
    <w:rsid w:val="00F226D2"/>
    <w:rsid w:val="00F30528"/>
    <w:rsid w:val="00F34276"/>
    <w:rsid w:val="00F57E77"/>
    <w:rsid w:val="00F65AD0"/>
    <w:rsid w:val="00F67C29"/>
    <w:rsid w:val="00F77276"/>
    <w:rsid w:val="00F82AFC"/>
    <w:rsid w:val="00FA3A19"/>
    <w:rsid w:val="00FA58BD"/>
    <w:rsid w:val="00FB70BE"/>
    <w:rsid w:val="00FD1348"/>
    <w:rsid w:val="00FD317B"/>
    <w:rsid w:val="00FE538A"/>
    <w:rsid w:val="00FE757B"/>
    <w:rsid w:val="00FE782E"/>
    <w:rsid w:val="00FE7F3D"/>
    <w:rsid w:val="00FF2117"/>
    <w:rsid w:val="00FF2EC2"/>
    <w:rsid w:val="010A478A"/>
    <w:rsid w:val="01262418"/>
    <w:rsid w:val="012C2953"/>
    <w:rsid w:val="01437C9C"/>
    <w:rsid w:val="014B08FF"/>
    <w:rsid w:val="01DB6127"/>
    <w:rsid w:val="02182ED7"/>
    <w:rsid w:val="02203B3A"/>
    <w:rsid w:val="02224FA1"/>
    <w:rsid w:val="025D6B3C"/>
    <w:rsid w:val="02704AC1"/>
    <w:rsid w:val="027A149C"/>
    <w:rsid w:val="02AB5498"/>
    <w:rsid w:val="02E15F84"/>
    <w:rsid w:val="02F96864"/>
    <w:rsid w:val="030B2A3C"/>
    <w:rsid w:val="038A570F"/>
    <w:rsid w:val="03991DF6"/>
    <w:rsid w:val="039B5B6E"/>
    <w:rsid w:val="03C2134C"/>
    <w:rsid w:val="03C30C20"/>
    <w:rsid w:val="03D014FE"/>
    <w:rsid w:val="03DB41BC"/>
    <w:rsid w:val="03F37758"/>
    <w:rsid w:val="04245B63"/>
    <w:rsid w:val="0431202E"/>
    <w:rsid w:val="0438160E"/>
    <w:rsid w:val="04461C11"/>
    <w:rsid w:val="04581CB1"/>
    <w:rsid w:val="04D550AF"/>
    <w:rsid w:val="04FE63B4"/>
    <w:rsid w:val="05253AE4"/>
    <w:rsid w:val="053F672D"/>
    <w:rsid w:val="05663F59"/>
    <w:rsid w:val="056D178C"/>
    <w:rsid w:val="056F1060"/>
    <w:rsid w:val="05917228"/>
    <w:rsid w:val="05A52CD4"/>
    <w:rsid w:val="05B41BCB"/>
    <w:rsid w:val="05C55124"/>
    <w:rsid w:val="06204BEB"/>
    <w:rsid w:val="06385BCB"/>
    <w:rsid w:val="063A78C0"/>
    <w:rsid w:val="06436049"/>
    <w:rsid w:val="06473D8B"/>
    <w:rsid w:val="066C1A43"/>
    <w:rsid w:val="067F52D3"/>
    <w:rsid w:val="06842A6A"/>
    <w:rsid w:val="069F5975"/>
    <w:rsid w:val="06A0349B"/>
    <w:rsid w:val="06D373CC"/>
    <w:rsid w:val="06FA0DFD"/>
    <w:rsid w:val="0721638A"/>
    <w:rsid w:val="075A7AEE"/>
    <w:rsid w:val="07691ADF"/>
    <w:rsid w:val="07726BE5"/>
    <w:rsid w:val="07835A6E"/>
    <w:rsid w:val="0797489E"/>
    <w:rsid w:val="07C136C9"/>
    <w:rsid w:val="07D94EB6"/>
    <w:rsid w:val="07F615C4"/>
    <w:rsid w:val="07F7533D"/>
    <w:rsid w:val="0808622A"/>
    <w:rsid w:val="0858402D"/>
    <w:rsid w:val="08732C15"/>
    <w:rsid w:val="08836BD0"/>
    <w:rsid w:val="08907C6B"/>
    <w:rsid w:val="08931509"/>
    <w:rsid w:val="08A059D4"/>
    <w:rsid w:val="08CB4963"/>
    <w:rsid w:val="08FA6E92"/>
    <w:rsid w:val="093323A4"/>
    <w:rsid w:val="096F5AD2"/>
    <w:rsid w:val="09945539"/>
    <w:rsid w:val="09AD2157"/>
    <w:rsid w:val="09BF1E8A"/>
    <w:rsid w:val="09DC2A3C"/>
    <w:rsid w:val="09DD54F1"/>
    <w:rsid w:val="09E813E1"/>
    <w:rsid w:val="0A053D41"/>
    <w:rsid w:val="0A1641A0"/>
    <w:rsid w:val="0A1E12A6"/>
    <w:rsid w:val="0A285C81"/>
    <w:rsid w:val="0A3C34DB"/>
    <w:rsid w:val="0A426D43"/>
    <w:rsid w:val="0A652A31"/>
    <w:rsid w:val="0A930B25"/>
    <w:rsid w:val="0AB3379D"/>
    <w:rsid w:val="0AF3003D"/>
    <w:rsid w:val="0B0C10FF"/>
    <w:rsid w:val="0B106E41"/>
    <w:rsid w:val="0B330D82"/>
    <w:rsid w:val="0B352404"/>
    <w:rsid w:val="0B6D6042"/>
    <w:rsid w:val="0B6E6353"/>
    <w:rsid w:val="0B7A250D"/>
    <w:rsid w:val="0BA37CB5"/>
    <w:rsid w:val="0BD87233"/>
    <w:rsid w:val="0C0369A6"/>
    <w:rsid w:val="0C0D3381"/>
    <w:rsid w:val="0C1F4E62"/>
    <w:rsid w:val="0C20212B"/>
    <w:rsid w:val="0C3152C1"/>
    <w:rsid w:val="0C35611A"/>
    <w:rsid w:val="0C3703FE"/>
    <w:rsid w:val="0C7B02EA"/>
    <w:rsid w:val="0C825B1D"/>
    <w:rsid w:val="0C945850"/>
    <w:rsid w:val="0CA35A93"/>
    <w:rsid w:val="0D2C7836"/>
    <w:rsid w:val="0D38442D"/>
    <w:rsid w:val="0D8238FA"/>
    <w:rsid w:val="0D95362E"/>
    <w:rsid w:val="0D9F44AC"/>
    <w:rsid w:val="0DDA54E4"/>
    <w:rsid w:val="0DE3083D"/>
    <w:rsid w:val="0E107158"/>
    <w:rsid w:val="0E3E1F17"/>
    <w:rsid w:val="0E4F7C80"/>
    <w:rsid w:val="0E8D69FB"/>
    <w:rsid w:val="0EA31D7A"/>
    <w:rsid w:val="0EA77ABC"/>
    <w:rsid w:val="0EBD108E"/>
    <w:rsid w:val="0EEC1973"/>
    <w:rsid w:val="0F000F7B"/>
    <w:rsid w:val="0F024CF3"/>
    <w:rsid w:val="0F1113DA"/>
    <w:rsid w:val="0F2033CB"/>
    <w:rsid w:val="0F3375A2"/>
    <w:rsid w:val="0F384BB8"/>
    <w:rsid w:val="0F5337A0"/>
    <w:rsid w:val="0FAB538A"/>
    <w:rsid w:val="0FB83603"/>
    <w:rsid w:val="0FBD6E6C"/>
    <w:rsid w:val="0FC226D4"/>
    <w:rsid w:val="0FDC19E8"/>
    <w:rsid w:val="0FE268D2"/>
    <w:rsid w:val="0FE32D76"/>
    <w:rsid w:val="10030D22"/>
    <w:rsid w:val="100920B1"/>
    <w:rsid w:val="101A42BE"/>
    <w:rsid w:val="106E1DC1"/>
    <w:rsid w:val="109C2F25"/>
    <w:rsid w:val="1109680C"/>
    <w:rsid w:val="11146F5F"/>
    <w:rsid w:val="11162CD7"/>
    <w:rsid w:val="11230F50"/>
    <w:rsid w:val="11421D1E"/>
    <w:rsid w:val="1158509E"/>
    <w:rsid w:val="117B6FDE"/>
    <w:rsid w:val="117D2D56"/>
    <w:rsid w:val="118C4D48"/>
    <w:rsid w:val="11E9219A"/>
    <w:rsid w:val="11F0177A"/>
    <w:rsid w:val="121216F1"/>
    <w:rsid w:val="122E5DFF"/>
    <w:rsid w:val="12374CB3"/>
    <w:rsid w:val="12483364"/>
    <w:rsid w:val="1283439D"/>
    <w:rsid w:val="12A14823"/>
    <w:rsid w:val="12B409FA"/>
    <w:rsid w:val="12C14EC5"/>
    <w:rsid w:val="12C16C73"/>
    <w:rsid w:val="12E806A4"/>
    <w:rsid w:val="12F64B6E"/>
    <w:rsid w:val="13021765"/>
    <w:rsid w:val="13250FB0"/>
    <w:rsid w:val="13426006"/>
    <w:rsid w:val="13491142"/>
    <w:rsid w:val="134E6759"/>
    <w:rsid w:val="13645F7C"/>
    <w:rsid w:val="137D0DEC"/>
    <w:rsid w:val="13921822"/>
    <w:rsid w:val="139879D4"/>
    <w:rsid w:val="13B660AC"/>
    <w:rsid w:val="13BC50BE"/>
    <w:rsid w:val="13C92283"/>
    <w:rsid w:val="13E64BE3"/>
    <w:rsid w:val="13F13588"/>
    <w:rsid w:val="14076907"/>
    <w:rsid w:val="141334FE"/>
    <w:rsid w:val="141D25CF"/>
    <w:rsid w:val="141F1EA3"/>
    <w:rsid w:val="14774823"/>
    <w:rsid w:val="147A532B"/>
    <w:rsid w:val="14956609"/>
    <w:rsid w:val="14A10028"/>
    <w:rsid w:val="14AA20B4"/>
    <w:rsid w:val="14D26F15"/>
    <w:rsid w:val="15204125"/>
    <w:rsid w:val="15282FD9"/>
    <w:rsid w:val="152C0D1B"/>
    <w:rsid w:val="1537321C"/>
    <w:rsid w:val="1548367B"/>
    <w:rsid w:val="15655FDB"/>
    <w:rsid w:val="15F335E7"/>
    <w:rsid w:val="161B48EC"/>
    <w:rsid w:val="1638549E"/>
    <w:rsid w:val="16726C02"/>
    <w:rsid w:val="16775FC6"/>
    <w:rsid w:val="16AB3EC2"/>
    <w:rsid w:val="16B5089D"/>
    <w:rsid w:val="17005FBC"/>
    <w:rsid w:val="17481711"/>
    <w:rsid w:val="17550BCC"/>
    <w:rsid w:val="176F3141"/>
    <w:rsid w:val="178D1819"/>
    <w:rsid w:val="17935082"/>
    <w:rsid w:val="17B943BD"/>
    <w:rsid w:val="17BD3EAD"/>
    <w:rsid w:val="17C214C3"/>
    <w:rsid w:val="17D128B0"/>
    <w:rsid w:val="17D336D0"/>
    <w:rsid w:val="18225EC8"/>
    <w:rsid w:val="18344274"/>
    <w:rsid w:val="18420856"/>
    <w:rsid w:val="185D743E"/>
    <w:rsid w:val="188D7D23"/>
    <w:rsid w:val="189A2440"/>
    <w:rsid w:val="18D53478"/>
    <w:rsid w:val="18E92A80"/>
    <w:rsid w:val="19257F5C"/>
    <w:rsid w:val="19404D95"/>
    <w:rsid w:val="19636CD6"/>
    <w:rsid w:val="196D36B1"/>
    <w:rsid w:val="197C1B46"/>
    <w:rsid w:val="19AC6795"/>
    <w:rsid w:val="19C332D1"/>
    <w:rsid w:val="1A1A3838"/>
    <w:rsid w:val="1A3A17E5"/>
    <w:rsid w:val="1A497C7A"/>
    <w:rsid w:val="1A5F1A59"/>
    <w:rsid w:val="1A7D73CD"/>
    <w:rsid w:val="1A807414"/>
    <w:rsid w:val="1A9058A9"/>
    <w:rsid w:val="1ABD2416"/>
    <w:rsid w:val="1AC437A4"/>
    <w:rsid w:val="1AD25EC1"/>
    <w:rsid w:val="1AF10B7F"/>
    <w:rsid w:val="1B0D514B"/>
    <w:rsid w:val="1B1E1106"/>
    <w:rsid w:val="1B373F76"/>
    <w:rsid w:val="1B4641B9"/>
    <w:rsid w:val="1B4A1EFB"/>
    <w:rsid w:val="1B656D35"/>
    <w:rsid w:val="1B6D1746"/>
    <w:rsid w:val="1B8A679C"/>
    <w:rsid w:val="1B965141"/>
    <w:rsid w:val="1BA333BA"/>
    <w:rsid w:val="1BBE6445"/>
    <w:rsid w:val="1BD87507"/>
    <w:rsid w:val="1BEA723A"/>
    <w:rsid w:val="1BF12377"/>
    <w:rsid w:val="1C2838BF"/>
    <w:rsid w:val="1C5E0702"/>
    <w:rsid w:val="1C625023"/>
    <w:rsid w:val="1C646FED"/>
    <w:rsid w:val="1C8C6544"/>
    <w:rsid w:val="1CCC6940"/>
    <w:rsid w:val="1CEB5018"/>
    <w:rsid w:val="1D04432C"/>
    <w:rsid w:val="1D232A04"/>
    <w:rsid w:val="1D4330A6"/>
    <w:rsid w:val="1D686669"/>
    <w:rsid w:val="1D752B34"/>
    <w:rsid w:val="1D943902"/>
    <w:rsid w:val="1DA82F09"/>
    <w:rsid w:val="1DB16262"/>
    <w:rsid w:val="1DD2442A"/>
    <w:rsid w:val="1DF223D6"/>
    <w:rsid w:val="1DF66374"/>
    <w:rsid w:val="1E0C16EA"/>
    <w:rsid w:val="1E2527AC"/>
    <w:rsid w:val="1E28404A"/>
    <w:rsid w:val="1E3D5D47"/>
    <w:rsid w:val="1E472722"/>
    <w:rsid w:val="1E6432D4"/>
    <w:rsid w:val="1E6E4153"/>
    <w:rsid w:val="1E7F010E"/>
    <w:rsid w:val="1EAA53BD"/>
    <w:rsid w:val="1EB61656"/>
    <w:rsid w:val="1ECB5101"/>
    <w:rsid w:val="1F262338"/>
    <w:rsid w:val="1F3031B6"/>
    <w:rsid w:val="1F354C71"/>
    <w:rsid w:val="1F43738D"/>
    <w:rsid w:val="1F5A6485"/>
    <w:rsid w:val="1FA140B4"/>
    <w:rsid w:val="1FCB7383"/>
    <w:rsid w:val="1FD53D5E"/>
    <w:rsid w:val="1FDC6E9A"/>
    <w:rsid w:val="1FFC753C"/>
    <w:rsid w:val="20146634"/>
    <w:rsid w:val="20234AC9"/>
    <w:rsid w:val="203B0065"/>
    <w:rsid w:val="20401B1F"/>
    <w:rsid w:val="20A35C0A"/>
    <w:rsid w:val="20CC6F0F"/>
    <w:rsid w:val="20EE50D7"/>
    <w:rsid w:val="20FD17BE"/>
    <w:rsid w:val="20FF0B32"/>
    <w:rsid w:val="2130749E"/>
    <w:rsid w:val="213568D6"/>
    <w:rsid w:val="2149055F"/>
    <w:rsid w:val="21584C46"/>
    <w:rsid w:val="21B53E47"/>
    <w:rsid w:val="21B55BF5"/>
    <w:rsid w:val="21BE2CFB"/>
    <w:rsid w:val="220D5A31"/>
    <w:rsid w:val="222A213F"/>
    <w:rsid w:val="22452A44"/>
    <w:rsid w:val="22761828"/>
    <w:rsid w:val="22934188"/>
    <w:rsid w:val="22AC349C"/>
    <w:rsid w:val="22C95DFC"/>
    <w:rsid w:val="22D24584"/>
    <w:rsid w:val="22FD3CF7"/>
    <w:rsid w:val="234436D4"/>
    <w:rsid w:val="234A05BF"/>
    <w:rsid w:val="234F5BD5"/>
    <w:rsid w:val="2351194D"/>
    <w:rsid w:val="23717CB9"/>
    <w:rsid w:val="23867849"/>
    <w:rsid w:val="23A423C5"/>
    <w:rsid w:val="23A83C63"/>
    <w:rsid w:val="23AB3753"/>
    <w:rsid w:val="23BD6FE3"/>
    <w:rsid w:val="23D26F32"/>
    <w:rsid w:val="23DD1433"/>
    <w:rsid w:val="24247062"/>
    <w:rsid w:val="245E2574"/>
    <w:rsid w:val="24945F95"/>
    <w:rsid w:val="24F20F0E"/>
    <w:rsid w:val="251B2213"/>
    <w:rsid w:val="255F47F5"/>
    <w:rsid w:val="25867FD4"/>
    <w:rsid w:val="25952D9C"/>
    <w:rsid w:val="25B05051"/>
    <w:rsid w:val="25DC7BF4"/>
    <w:rsid w:val="26060DB5"/>
    <w:rsid w:val="261A4BC0"/>
    <w:rsid w:val="266D2F42"/>
    <w:rsid w:val="269A4D97"/>
    <w:rsid w:val="26C863CA"/>
    <w:rsid w:val="26CF59AB"/>
    <w:rsid w:val="26D7660D"/>
    <w:rsid w:val="26E4187A"/>
    <w:rsid w:val="275859A0"/>
    <w:rsid w:val="27743E5C"/>
    <w:rsid w:val="278A18D2"/>
    <w:rsid w:val="27A42993"/>
    <w:rsid w:val="27C748D4"/>
    <w:rsid w:val="280B656E"/>
    <w:rsid w:val="28341F69"/>
    <w:rsid w:val="28461C9C"/>
    <w:rsid w:val="28553C8E"/>
    <w:rsid w:val="285E6FE6"/>
    <w:rsid w:val="28795BCE"/>
    <w:rsid w:val="289A5B44"/>
    <w:rsid w:val="290F02E0"/>
    <w:rsid w:val="291458F7"/>
    <w:rsid w:val="29192F0D"/>
    <w:rsid w:val="292F0982"/>
    <w:rsid w:val="295C2DFA"/>
    <w:rsid w:val="296A19BB"/>
    <w:rsid w:val="297840D8"/>
    <w:rsid w:val="297E7214"/>
    <w:rsid w:val="29804D3A"/>
    <w:rsid w:val="29D659C5"/>
    <w:rsid w:val="2A497822"/>
    <w:rsid w:val="2A570191"/>
    <w:rsid w:val="2A6428AE"/>
    <w:rsid w:val="2A89212E"/>
    <w:rsid w:val="2AAF1D7B"/>
    <w:rsid w:val="2ABF7AE4"/>
    <w:rsid w:val="2AF754D0"/>
    <w:rsid w:val="2B0100FD"/>
    <w:rsid w:val="2B0F281A"/>
    <w:rsid w:val="2B1716CE"/>
    <w:rsid w:val="2B69794E"/>
    <w:rsid w:val="2BA80578"/>
    <w:rsid w:val="2BD6638E"/>
    <w:rsid w:val="2BE772F2"/>
    <w:rsid w:val="2BFA5278"/>
    <w:rsid w:val="2C2422F5"/>
    <w:rsid w:val="2C4402A1"/>
    <w:rsid w:val="2C66290D"/>
    <w:rsid w:val="2C8132A3"/>
    <w:rsid w:val="2CE16B18"/>
    <w:rsid w:val="2CF241A1"/>
    <w:rsid w:val="2D546C0A"/>
    <w:rsid w:val="2D7050C6"/>
    <w:rsid w:val="2E112405"/>
    <w:rsid w:val="2E24038A"/>
    <w:rsid w:val="2E556795"/>
    <w:rsid w:val="2E5D564A"/>
    <w:rsid w:val="2E6609A2"/>
    <w:rsid w:val="2E7F3812"/>
    <w:rsid w:val="2EA63495"/>
    <w:rsid w:val="2ED27DE6"/>
    <w:rsid w:val="2ED51684"/>
    <w:rsid w:val="2F0E4B96"/>
    <w:rsid w:val="2F120B2A"/>
    <w:rsid w:val="2F436F36"/>
    <w:rsid w:val="2F7E7F6E"/>
    <w:rsid w:val="2FE204FD"/>
    <w:rsid w:val="2FED29FE"/>
    <w:rsid w:val="2FFF10AF"/>
    <w:rsid w:val="30136908"/>
    <w:rsid w:val="30197C97"/>
    <w:rsid w:val="301F52AD"/>
    <w:rsid w:val="302723B3"/>
    <w:rsid w:val="304271ED"/>
    <w:rsid w:val="30711881"/>
    <w:rsid w:val="3075311F"/>
    <w:rsid w:val="30B359F5"/>
    <w:rsid w:val="30EB518F"/>
    <w:rsid w:val="30FC55EE"/>
    <w:rsid w:val="311E5564"/>
    <w:rsid w:val="316A69FC"/>
    <w:rsid w:val="31741628"/>
    <w:rsid w:val="31AF440F"/>
    <w:rsid w:val="31C51E84"/>
    <w:rsid w:val="31D16A7B"/>
    <w:rsid w:val="31E10DF1"/>
    <w:rsid w:val="31EF0CAF"/>
    <w:rsid w:val="320C360F"/>
    <w:rsid w:val="322272D6"/>
    <w:rsid w:val="32252923"/>
    <w:rsid w:val="325B4596"/>
    <w:rsid w:val="32684654"/>
    <w:rsid w:val="32785148"/>
    <w:rsid w:val="327B51AE"/>
    <w:rsid w:val="32A95302"/>
    <w:rsid w:val="32BD2B5B"/>
    <w:rsid w:val="32C57C62"/>
    <w:rsid w:val="32DF2AD1"/>
    <w:rsid w:val="32E91BA2"/>
    <w:rsid w:val="32F02F31"/>
    <w:rsid w:val="32FC613E"/>
    <w:rsid w:val="3310712F"/>
    <w:rsid w:val="33460DA3"/>
    <w:rsid w:val="336D632F"/>
    <w:rsid w:val="33705E1F"/>
    <w:rsid w:val="33AC2F08"/>
    <w:rsid w:val="33B026C0"/>
    <w:rsid w:val="33C543BD"/>
    <w:rsid w:val="33D939C5"/>
    <w:rsid w:val="33E10ACB"/>
    <w:rsid w:val="342C61EA"/>
    <w:rsid w:val="342D36D9"/>
    <w:rsid w:val="343706EB"/>
    <w:rsid w:val="34474DD2"/>
    <w:rsid w:val="344A2B14"/>
    <w:rsid w:val="346F60D7"/>
    <w:rsid w:val="347E631A"/>
    <w:rsid w:val="34A9783B"/>
    <w:rsid w:val="34B561E0"/>
    <w:rsid w:val="34FA1E45"/>
    <w:rsid w:val="351A24E7"/>
    <w:rsid w:val="351D1FD7"/>
    <w:rsid w:val="35213875"/>
    <w:rsid w:val="35645510"/>
    <w:rsid w:val="357D4824"/>
    <w:rsid w:val="358B0CEF"/>
    <w:rsid w:val="359E6C74"/>
    <w:rsid w:val="35C12962"/>
    <w:rsid w:val="35E36D7D"/>
    <w:rsid w:val="35FB40C6"/>
    <w:rsid w:val="361A2073"/>
    <w:rsid w:val="363D46DF"/>
    <w:rsid w:val="366854D4"/>
    <w:rsid w:val="36940077"/>
    <w:rsid w:val="36AC3612"/>
    <w:rsid w:val="36BD137C"/>
    <w:rsid w:val="36CA3A99"/>
    <w:rsid w:val="36CC15BF"/>
    <w:rsid w:val="36CF7301"/>
    <w:rsid w:val="36D11FF8"/>
    <w:rsid w:val="36D61CF8"/>
    <w:rsid w:val="36E44B5A"/>
    <w:rsid w:val="36E52680"/>
    <w:rsid w:val="36F54FB9"/>
    <w:rsid w:val="37182A56"/>
    <w:rsid w:val="373B04F2"/>
    <w:rsid w:val="374C0952"/>
    <w:rsid w:val="375F0685"/>
    <w:rsid w:val="379D2F5B"/>
    <w:rsid w:val="37C30C14"/>
    <w:rsid w:val="37CE75B8"/>
    <w:rsid w:val="37D270A9"/>
    <w:rsid w:val="37F25055"/>
    <w:rsid w:val="380D00E1"/>
    <w:rsid w:val="381C47C8"/>
    <w:rsid w:val="38276E1B"/>
    <w:rsid w:val="3828316D"/>
    <w:rsid w:val="382B67B9"/>
    <w:rsid w:val="383B2EA0"/>
    <w:rsid w:val="38591578"/>
    <w:rsid w:val="38651CCB"/>
    <w:rsid w:val="388365F5"/>
    <w:rsid w:val="38BD2E58"/>
    <w:rsid w:val="38EC7CF6"/>
    <w:rsid w:val="39167469"/>
    <w:rsid w:val="393D67A4"/>
    <w:rsid w:val="39567866"/>
    <w:rsid w:val="397B107A"/>
    <w:rsid w:val="39B5458C"/>
    <w:rsid w:val="39C80763"/>
    <w:rsid w:val="39C90037"/>
    <w:rsid w:val="39E3559D"/>
    <w:rsid w:val="3A2A0CA5"/>
    <w:rsid w:val="3A3E27D3"/>
    <w:rsid w:val="3A4D2A17"/>
    <w:rsid w:val="3A6366DE"/>
    <w:rsid w:val="3A9A3BD3"/>
    <w:rsid w:val="3AA06FEA"/>
    <w:rsid w:val="3ABE3914"/>
    <w:rsid w:val="3B0D21A6"/>
    <w:rsid w:val="3B2714BA"/>
    <w:rsid w:val="3B295232"/>
    <w:rsid w:val="3B443E1A"/>
    <w:rsid w:val="3B4A33FA"/>
    <w:rsid w:val="3B4C7172"/>
    <w:rsid w:val="3B4E2EEA"/>
    <w:rsid w:val="3B985F13"/>
    <w:rsid w:val="3BA90120"/>
    <w:rsid w:val="3BC136BC"/>
    <w:rsid w:val="3BCD19E7"/>
    <w:rsid w:val="3C1F4887"/>
    <w:rsid w:val="3C2123AD"/>
    <w:rsid w:val="3C277297"/>
    <w:rsid w:val="3C3976F6"/>
    <w:rsid w:val="3C430575"/>
    <w:rsid w:val="3C630EA4"/>
    <w:rsid w:val="3C88242C"/>
    <w:rsid w:val="3CC66D60"/>
    <w:rsid w:val="3CE279C9"/>
    <w:rsid w:val="3D0F0457"/>
    <w:rsid w:val="3D2F28A7"/>
    <w:rsid w:val="3D3D6D72"/>
    <w:rsid w:val="3D5440BC"/>
    <w:rsid w:val="3D5E4F3B"/>
    <w:rsid w:val="3D6469F5"/>
    <w:rsid w:val="3D670293"/>
    <w:rsid w:val="3D6A1B31"/>
    <w:rsid w:val="3D6E33D0"/>
    <w:rsid w:val="3D793B23"/>
    <w:rsid w:val="3D8A5D30"/>
    <w:rsid w:val="3D9F7A2D"/>
    <w:rsid w:val="3DA70690"/>
    <w:rsid w:val="3DAC3EF8"/>
    <w:rsid w:val="3DBB238D"/>
    <w:rsid w:val="3DCE3E6E"/>
    <w:rsid w:val="3DD671C7"/>
    <w:rsid w:val="3DE03BA2"/>
    <w:rsid w:val="3DF8713D"/>
    <w:rsid w:val="3E1D6BA4"/>
    <w:rsid w:val="3E522CF1"/>
    <w:rsid w:val="3EF26282"/>
    <w:rsid w:val="3F253F62"/>
    <w:rsid w:val="3F304187"/>
    <w:rsid w:val="3F47037C"/>
    <w:rsid w:val="3F591E5E"/>
    <w:rsid w:val="3F5E1222"/>
    <w:rsid w:val="3F9335C1"/>
    <w:rsid w:val="3F984734"/>
    <w:rsid w:val="3F9B2476"/>
    <w:rsid w:val="3FB35A12"/>
    <w:rsid w:val="3FB84DD6"/>
    <w:rsid w:val="3FD80FD4"/>
    <w:rsid w:val="3FF027C2"/>
    <w:rsid w:val="3FF102E8"/>
    <w:rsid w:val="40193ECD"/>
    <w:rsid w:val="402C30CE"/>
    <w:rsid w:val="40833636"/>
    <w:rsid w:val="408F1FDB"/>
    <w:rsid w:val="40907B01"/>
    <w:rsid w:val="40B57568"/>
    <w:rsid w:val="40D479EE"/>
    <w:rsid w:val="40E63BC5"/>
    <w:rsid w:val="40F7192E"/>
    <w:rsid w:val="411B386E"/>
    <w:rsid w:val="412201F5"/>
    <w:rsid w:val="41474664"/>
    <w:rsid w:val="414F52C6"/>
    <w:rsid w:val="417C1E33"/>
    <w:rsid w:val="41872CB2"/>
    <w:rsid w:val="41B45A71"/>
    <w:rsid w:val="41B82E6B"/>
    <w:rsid w:val="41E06866"/>
    <w:rsid w:val="42530DE6"/>
    <w:rsid w:val="42666D6B"/>
    <w:rsid w:val="426B25D4"/>
    <w:rsid w:val="426B4382"/>
    <w:rsid w:val="427E2307"/>
    <w:rsid w:val="42855CD3"/>
    <w:rsid w:val="42A76852"/>
    <w:rsid w:val="42A94EAA"/>
    <w:rsid w:val="42B5384F"/>
    <w:rsid w:val="42D75573"/>
    <w:rsid w:val="42DC0DDB"/>
    <w:rsid w:val="42E45EE2"/>
    <w:rsid w:val="42F425C9"/>
    <w:rsid w:val="42F9198D"/>
    <w:rsid w:val="431B5DA8"/>
    <w:rsid w:val="4343478A"/>
    <w:rsid w:val="43790D20"/>
    <w:rsid w:val="437C611B"/>
    <w:rsid w:val="437E1E93"/>
    <w:rsid w:val="43943464"/>
    <w:rsid w:val="43CC52F4"/>
    <w:rsid w:val="43D9531B"/>
    <w:rsid w:val="43DE0B83"/>
    <w:rsid w:val="43E268C5"/>
    <w:rsid w:val="43EC14F2"/>
    <w:rsid w:val="44054362"/>
    <w:rsid w:val="44352E99"/>
    <w:rsid w:val="443D3AFC"/>
    <w:rsid w:val="448E25A9"/>
    <w:rsid w:val="44DE19E8"/>
    <w:rsid w:val="44E16B7D"/>
    <w:rsid w:val="44E623E5"/>
    <w:rsid w:val="44F3240C"/>
    <w:rsid w:val="44FC7513"/>
    <w:rsid w:val="45050ABD"/>
    <w:rsid w:val="456A4DC4"/>
    <w:rsid w:val="4577303D"/>
    <w:rsid w:val="45B44292"/>
    <w:rsid w:val="463351B6"/>
    <w:rsid w:val="463902F3"/>
    <w:rsid w:val="463E3B5B"/>
    <w:rsid w:val="467001B9"/>
    <w:rsid w:val="46A75BA4"/>
    <w:rsid w:val="46E93AC7"/>
    <w:rsid w:val="4743767B"/>
    <w:rsid w:val="47665118"/>
    <w:rsid w:val="477F442B"/>
    <w:rsid w:val="47947ED7"/>
    <w:rsid w:val="47A17DBD"/>
    <w:rsid w:val="47C3256A"/>
    <w:rsid w:val="47C32F55"/>
    <w:rsid w:val="47D46525"/>
    <w:rsid w:val="480A09A7"/>
    <w:rsid w:val="480C2163"/>
    <w:rsid w:val="480D7C89"/>
    <w:rsid w:val="48141018"/>
    <w:rsid w:val="48223734"/>
    <w:rsid w:val="482A25E9"/>
    <w:rsid w:val="48457423"/>
    <w:rsid w:val="485E04E5"/>
    <w:rsid w:val="4874381A"/>
    <w:rsid w:val="488C3DC0"/>
    <w:rsid w:val="488E0DCA"/>
    <w:rsid w:val="48BD345D"/>
    <w:rsid w:val="48DF33D4"/>
    <w:rsid w:val="4911762A"/>
    <w:rsid w:val="493F20C4"/>
    <w:rsid w:val="49423962"/>
    <w:rsid w:val="494D658F"/>
    <w:rsid w:val="494E0559"/>
    <w:rsid w:val="495012CB"/>
    <w:rsid w:val="4968161B"/>
    <w:rsid w:val="49A8026C"/>
    <w:rsid w:val="4A0C3670"/>
    <w:rsid w:val="4A5C68A4"/>
    <w:rsid w:val="4A6D4A0F"/>
    <w:rsid w:val="4A6F69D9"/>
    <w:rsid w:val="4A7933B4"/>
    <w:rsid w:val="4A9106FD"/>
    <w:rsid w:val="4A963F66"/>
    <w:rsid w:val="4ABB1C1E"/>
    <w:rsid w:val="4AC70FD6"/>
    <w:rsid w:val="4AC7411F"/>
    <w:rsid w:val="4ACD1FA8"/>
    <w:rsid w:val="4AD36F68"/>
    <w:rsid w:val="4AEC002A"/>
    <w:rsid w:val="4B0361E9"/>
    <w:rsid w:val="4B35552D"/>
    <w:rsid w:val="4B7F0E9E"/>
    <w:rsid w:val="4BA6467C"/>
    <w:rsid w:val="4BB9615E"/>
    <w:rsid w:val="4BC55AEB"/>
    <w:rsid w:val="4BFB49C8"/>
    <w:rsid w:val="4C26696E"/>
    <w:rsid w:val="4C583BC9"/>
    <w:rsid w:val="4C6F4A6E"/>
    <w:rsid w:val="4C7E1155"/>
    <w:rsid w:val="4C7E73A7"/>
    <w:rsid w:val="4C82795D"/>
    <w:rsid w:val="4C9B1D07"/>
    <w:rsid w:val="4CB608EF"/>
    <w:rsid w:val="4CCC3C6F"/>
    <w:rsid w:val="4CCE3E8B"/>
    <w:rsid w:val="4CE865CF"/>
    <w:rsid w:val="4CFA6A2E"/>
    <w:rsid w:val="4CFB27A6"/>
    <w:rsid w:val="4D151ABA"/>
    <w:rsid w:val="4D2C295F"/>
    <w:rsid w:val="4D2F41FE"/>
    <w:rsid w:val="4D493511"/>
    <w:rsid w:val="4D677E3B"/>
    <w:rsid w:val="4D7D140D"/>
    <w:rsid w:val="4DBF1A26"/>
    <w:rsid w:val="4DE65204"/>
    <w:rsid w:val="4E151645"/>
    <w:rsid w:val="4E6600F3"/>
    <w:rsid w:val="4E9C3B15"/>
    <w:rsid w:val="4EA84268"/>
    <w:rsid w:val="4F073684"/>
    <w:rsid w:val="4F1F09CE"/>
    <w:rsid w:val="4F471CD3"/>
    <w:rsid w:val="4F4C72E9"/>
    <w:rsid w:val="4F5F0DCA"/>
    <w:rsid w:val="4F5F526E"/>
    <w:rsid w:val="4F952A3E"/>
    <w:rsid w:val="4F9C3DCC"/>
    <w:rsid w:val="4FD277EE"/>
    <w:rsid w:val="4FEF6B40"/>
    <w:rsid w:val="501222E0"/>
    <w:rsid w:val="501716A5"/>
    <w:rsid w:val="502B5150"/>
    <w:rsid w:val="504306EC"/>
    <w:rsid w:val="505C355C"/>
    <w:rsid w:val="506A3ECB"/>
    <w:rsid w:val="508825A3"/>
    <w:rsid w:val="50A849F3"/>
    <w:rsid w:val="50EF43D0"/>
    <w:rsid w:val="512027DB"/>
    <w:rsid w:val="51226553"/>
    <w:rsid w:val="51363DAD"/>
    <w:rsid w:val="5139389D"/>
    <w:rsid w:val="5160707C"/>
    <w:rsid w:val="51671620"/>
    <w:rsid w:val="516C3C72"/>
    <w:rsid w:val="51825244"/>
    <w:rsid w:val="51894824"/>
    <w:rsid w:val="51D1485E"/>
    <w:rsid w:val="5209326F"/>
    <w:rsid w:val="52132340"/>
    <w:rsid w:val="52B15DE1"/>
    <w:rsid w:val="52C260AD"/>
    <w:rsid w:val="532A16EF"/>
    <w:rsid w:val="533C1422"/>
    <w:rsid w:val="5345477B"/>
    <w:rsid w:val="535844AE"/>
    <w:rsid w:val="536F7A4A"/>
    <w:rsid w:val="538C5F06"/>
    <w:rsid w:val="539179C0"/>
    <w:rsid w:val="539B25ED"/>
    <w:rsid w:val="53A476F3"/>
    <w:rsid w:val="53A5346C"/>
    <w:rsid w:val="53D55AFF"/>
    <w:rsid w:val="540463E4"/>
    <w:rsid w:val="543F1DE9"/>
    <w:rsid w:val="54413194"/>
    <w:rsid w:val="544763BD"/>
    <w:rsid w:val="54482775"/>
    <w:rsid w:val="54B71B98"/>
    <w:rsid w:val="54BE2A37"/>
    <w:rsid w:val="55081F04"/>
    <w:rsid w:val="558F7F2F"/>
    <w:rsid w:val="55992B5C"/>
    <w:rsid w:val="55B87486"/>
    <w:rsid w:val="55C7591B"/>
    <w:rsid w:val="55EF09CE"/>
    <w:rsid w:val="56186177"/>
    <w:rsid w:val="56223DB1"/>
    <w:rsid w:val="5637484F"/>
    <w:rsid w:val="563D5BDD"/>
    <w:rsid w:val="565F5B54"/>
    <w:rsid w:val="56680EAC"/>
    <w:rsid w:val="567333AD"/>
    <w:rsid w:val="568B4B9B"/>
    <w:rsid w:val="56B57E6A"/>
    <w:rsid w:val="56B75990"/>
    <w:rsid w:val="56ED315F"/>
    <w:rsid w:val="56EE0C86"/>
    <w:rsid w:val="56F72230"/>
    <w:rsid w:val="5712706A"/>
    <w:rsid w:val="572052E3"/>
    <w:rsid w:val="57416B04"/>
    <w:rsid w:val="574F7976"/>
    <w:rsid w:val="578C0BCA"/>
    <w:rsid w:val="578C2978"/>
    <w:rsid w:val="57A71560"/>
    <w:rsid w:val="57BB14B0"/>
    <w:rsid w:val="57EA769F"/>
    <w:rsid w:val="57FB5D50"/>
    <w:rsid w:val="57FD73D2"/>
    <w:rsid w:val="580C5867"/>
    <w:rsid w:val="58112E7E"/>
    <w:rsid w:val="584A6390"/>
    <w:rsid w:val="58515970"/>
    <w:rsid w:val="58550FBC"/>
    <w:rsid w:val="58562F86"/>
    <w:rsid w:val="585F62DF"/>
    <w:rsid w:val="58690F0C"/>
    <w:rsid w:val="589C4E3D"/>
    <w:rsid w:val="58FA7DB6"/>
    <w:rsid w:val="58FE1654"/>
    <w:rsid w:val="593B5966"/>
    <w:rsid w:val="59400210"/>
    <w:rsid w:val="599975CF"/>
    <w:rsid w:val="59A321FB"/>
    <w:rsid w:val="59BD32BD"/>
    <w:rsid w:val="59C3464B"/>
    <w:rsid w:val="59C4289D"/>
    <w:rsid w:val="59C503C4"/>
    <w:rsid w:val="59E32225"/>
    <w:rsid w:val="59E7658C"/>
    <w:rsid w:val="59F111B9"/>
    <w:rsid w:val="5A025174"/>
    <w:rsid w:val="5A36306F"/>
    <w:rsid w:val="5A5A4FB0"/>
    <w:rsid w:val="5A854088"/>
    <w:rsid w:val="5AD85ED5"/>
    <w:rsid w:val="5B0D3DD0"/>
    <w:rsid w:val="5B21162A"/>
    <w:rsid w:val="5B312D56"/>
    <w:rsid w:val="5B5714EF"/>
    <w:rsid w:val="5B61411C"/>
    <w:rsid w:val="5B920779"/>
    <w:rsid w:val="5BDE751B"/>
    <w:rsid w:val="5BEA2363"/>
    <w:rsid w:val="5C390BF5"/>
    <w:rsid w:val="5C5617A7"/>
    <w:rsid w:val="5CA22C3E"/>
    <w:rsid w:val="5CD5091E"/>
    <w:rsid w:val="5CF50FC0"/>
    <w:rsid w:val="5D017965"/>
    <w:rsid w:val="5D066D29"/>
    <w:rsid w:val="5D5201C0"/>
    <w:rsid w:val="5DA35158"/>
    <w:rsid w:val="5DD010E5"/>
    <w:rsid w:val="5DD07337"/>
    <w:rsid w:val="5DD15589"/>
    <w:rsid w:val="5DD2630F"/>
    <w:rsid w:val="5E2E21D2"/>
    <w:rsid w:val="5E2F0501"/>
    <w:rsid w:val="5E317DD6"/>
    <w:rsid w:val="5E337FF2"/>
    <w:rsid w:val="5E343D6A"/>
    <w:rsid w:val="5E930A90"/>
    <w:rsid w:val="5E93283E"/>
    <w:rsid w:val="5EEE5CC7"/>
    <w:rsid w:val="5EF552A7"/>
    <w:rsid w:val="5F48187B"/>
    <w:rsid w:val="5F772160"/>
    <w:rsid w:val="5FC52ECB"/>
    <w:rsid w:val="5FE84E0C"/>
    <w:rsid w:val="601856F1"/>
    <w:rsid w:val="601B6F8F"/>
    <w:rsid w:val="60A54AAB"/>
    <w:rsid w:val="60EC4488"/>
    <w:rsid w:val="60FB291D"/>
    <w:rsid w:val="6122434D"/>
    <w:rsid w:val="614222FA"/>
    <w:rsid w:val="61860438"/>
    <w:rsid w:val="61B01959"/>
    <w:rsid w:val="61C6171D"/>
    <w:rsid w:val="61CA2A1B"/>
    <w:rsid w:val="61CF0031"/>
    <w:rsid w:val="61D373F6"/>
    <w:rsid w:val="61E433B1"/>
    <w:rsid w:val="61E84C4F"/>
    <w:rsid w:val="61ED6709"/>
    <w:rsid w:val="62195750"/>
    <w:rsid w:val="623E6F65"/>
    <w:rsid w:val="624B3430"/>
    <w:rsid w:val="62570027"/>
    <w:rsid w:val="625B18C5"/>
    <w:rsid w:val="626C5880"/>
    <w:rsid w:val="62725FBE"/>
    <w:rsid w:val="62744735"/>
    <w:rsid w:val="6280132C"/>
    <w:rsid w:val="62BE1E54"/>
    <w:rsid w:val="62C86B71"/>
    <w:rsid w:val="62CF4061"/>
    <w:rsid w:val="62CF7BBD"/>
    <w:rsid w:val="62D358FF"/>
    <w:rsid w:val="62E775FD"/>
    <w:rsid w:val="63043D0B"/>
    <w:rsid w:val="631942AE"/>
    <w:rsid w:val="631A52DC"/>
    <w:rsid w:val="63350368"/>
    <w:rsid w:val="634E142A"/>
    <w:rsid w:val="639808F7"/>
    <w:rsid w:val="63A86D8C"/>
    <w:rsid w:val="63B02D1D"/>
    <w:rsid w:val="63C139AA"/>
    <w:rsid w:val="63C27722"/>
    <w:rsid w:val="63C80FC1"/>
    <w:rsid w:val="63D3192F"/>
    <w:rsid w:val="63EF49BB"/>
    <w:rsid w:val="6401649C"/>
    <w:rsid w:val="641937E6"/>
    <w:rsid w:val="64195594"/>
    <w:rsid w:val="64406FC4"/>
    <w:rsid w:val="646B48B3"/>
    <w:rsid w:val="6470717E"/>
    <w:rsid w:val="647C5B23"/>
    <w:rsid w:val="6486074F"/>
    <w:rsid w:val="64926B58"/>
    <w:rsid w:val="64B96D77"/>
    <w:rsid w:val="64F14763"/>
    <w:rsid w:val="65402FF4"/>
    <w:rsid w:val="654B3E73"/>
    <w:rsid w:val="65566374"/>
    <w:rsid w:val="65B03CD6"/>
    <w:rsid w:val="65D200F0"/>
    <w:rsid w:val="660B3602"/>
    <w:rsid w:val="661029C7"/>
    <w:rsid w:val="66173CAA"/>
    <w:rsid w:val="661E0743"/>
    <w:rsid w:val="6623094C"/>
    <w:rsid w:val="66270337"/>
    <w:rsid w:val="664D59C9"/>
    <w:rsid w:val="665723A3"/>
    <w:rsid w:val="6695111E"/>
    <w:rsid w:val="66C8504F"/>
    <w:rsid w:val="672229B1"/>
    <w:rsid w:val="672E0F80"/>
    <w:rsid w:val="67446DCC"/>
    <w:rsid w:val="674943E2"/>
    <w:rsid w:val="67566AFF"/>
    <w:rsid w:val="676B623D"/>
    <w:rsid w:val="67AC671F"/>
    <w:rsid w:val="67CE2B39"/>
    <w:rsid w:val="67D0065F"/>
    <w:rsid w:val="67D60766"/>
    <w:rsid w:val="680B78E9"/>
    <w:rsid w:val="682409AB"/>
    <w:rsid w:val="68460921"/>
    <w:rsid w:val="68664B20"/>
    <w:rsid w:val="689A2A1B"/>
    <w:rsid w:val="68E72104"/>
    <w:rsid w:val="68FB795E"/>
    <w:rsid w:val="691D5B26"/>
    <w:rsid w:val="691F4FA3"/>
    <w:rsid w:val="69216C99"/>
    <w:rsid w:val="694766FF"/>
    <w:rsid w:val="69641ECE"/>
    <w:rsid w:val="696F5C56"/>
    <w:rsid w:val="698C6808"/>
    <w:rsid w:val="699456BD"/>
    <w:rsid w:val="69B53FB1"/>
    <w:rsid w:val="69C77840"/>
    <w:rsid w:val="6A040A94"/>
    <w:rsid w:val="6A0A597F"/>
    <w:rsid w:val="6A4E7F61"/>
    <w:rsid w:val="6A6B28C1"/>
    <w:rsid w:val="6A876FCF"/>
    <w:rsid w:val="6A941E18"/>
    <w:rsid w:val="6A9736B6"/>
    <w:rsid w:val="6AD55F8D"/>
    <w:rsid w:val="6AF341EA"/>
    <w:rsid w:val="6AF428B7"/>
    <w:rsid w:val="6B4750DC"/>
    <w:rsid w:val="6B715CB5"/>
    <w:rsid w:val="6B99345E"/>
    <w:rsid w:val="6BE26BB3"/>
    <w:rsid w:val="6BF1329A"/>
    <w:rsid w:val="6BF3052D"/>
    <w:rsid w:val="6C16685D"/>
    <w:rsid w:val="6C4E249B"/>
    <w:rsid w:val="6C5A499B"/>
    <w:rsid w:val="6C6972D4"/>
    <w:rsid w:val="6C9F2CF6"/>
    <w:rsid w:val="6CBE317C"/>
    <w:rsid w:val="6CDA5ADC"/>
    <w:rsid w:val="6D0B1BA5"/>
    <w:rsid w:val="6D390A55"/>
    <w:rsid w:val="6D4C69DA"/>
    <w:rsid w:val="6D5533B5"/>
    <w:rsid w:val="6D6655C2"/>
    <w:rsid w:val="6D8048D6"/>
    <w:rsid w:val="6DEF55B7"/>
    <w:rsid w:val="6E2A5389"/>
    <w:rsid w:val="6E443B55"/>
    <w:rsid w:val="6E82642B"/>
    <w:rsid w:val="6EA6211A"/>
    <w:rsid w:val="6EA97E5C"/>
    <w:rsid w:val="6ED76777"/>
    <w:rsid w:val="6F101C89"/>
    <w:rsid w:val="6F125A01"/>
    <w:rsid w:val="6FA7439C"/>
    <w:rsid w:val="6FAF3250"/>
    <w:rsid w:val="6FF70753"/>
    <w:rsid w:val="703D260A"/>
    <w:rsid w:val="705C33D8"/>
    <w:rsid w:val="706933FF"/>
    <w:rsid w:val="707A560C"/>
    <w:rsid w:val="70B07280"/>
    <w:rsid w:val="70B84386"/>
    <w:rsid w:val="70DA42FD"/>
    <w:rsid w:val="70E231B1"/>
    <w:rsid w:val="70E62CA2"/>
    <w:rsid w:val="70ED4030"/>
    <w:rsid w:val="71080E6A"/>
    <w:rsid w:val="710B095A"/>
    <w:rsid w:val="713A123F"/>
    <w:rsid w:val="71493231"/>
    <w:rsid w:val="715E4F2E"/>
    <w:rsid w:val="716342F2"/>
    <w:rsid w:val="71752277"/>
    <w:rsid w:val="71804EA4"/>
    <w:rsid w:val="71997FEE"/>
    <w:rsid w:val="71B97C16"/>
    <w:rsid w:val="71C32FE3"/>
    <w:rsid w:val="71DB20DB"/>
    <w:rsid w:val="71DF485F"/>
    <w:rsid w:val="71FC02A3"/>
    <w:rsid w:val="72BF19FC"/>
    <w:rsid w:val="72C76B03"/>
    <w:rsid w:val="7306587D"/>
    <w:rsid w:val="7309711B"/>
    <w:rsid w:val="732301DD"/>
    <w:rsid w:val="732B25B2"/>
    <w:rsid w:val="7355410F"/>
    <w:rsid w:val="736600CA"/>
    <w:rsid w:val="73972979"/>
    <w:rsid w:val="73A82490"/>
    <w:rsid w:val="73B057E9"/>
    <w:rsid w:val="741713C4"/>
    <w:rsid w:val="743326A2"/>
    <w:rsid w:val="7434641A"/>
    <w:rsid w:val="747B1953"/>
    <w:rsid w:val="749B0247"/>
    <w:rsid w:val="74B35591"/>
    <w:rsid w:val="74BF5CE3"/>
    <w:rsid w:val="74FA31C0"/>
    <w:rsid w:val="74FC6F38"/>
    <w:rsid w:val="74FD2BE4"/>
    <w:rsid w:val="75045DEC"/>
    <w:rsid w:val="7507768A"/>
    <w:rsid w:val="750C4CA1"/>
    <w:rsid w:val="75104791"/>
    <w:rsid w:val="751F2C26"/>
    <w:rsid w:val="75243D99"/>
    <w:rsid w:val="75325F48"/>
    <w:rsid w:val="75383CE8"/>
    <w:rsid w:val="757765BE"/>
    <w:rsid w:val="75790588"/>
    <w:rsid w:val="75952EE8"/>
    <w:rsid w:val="75CD3A2D"/>
    <w:rsid w:val="75D02172"/>
    <w:rsid w:val="75ED6880"/>
    <w:rsid w:val="76553729"/>
    <w:rsid w:val="766C59F7"/>
    <w:rsid w:val="76880357"/>
    <w:rsid w:val="76AC673B"/>
    <w:rsid w:val="76BE7C89"/>
    <w:rsid w:val="76CA4E14"/>
    <w:rsid w:val="76E9529A"/>
    <w:rsid w:val="76FB6D7B"/>
    <w:rsid w:val="770976EA"/>
    <w:rsid w:val="770A7156"/>
    <w:rsid w:val="774921DC"/>
    <w:rsid w:val="774B1AB0"/>
    <w:rsid w:val="7762504C"/>
    <w:rsid w:val="77860D3A"/>
    <w:rsid w:val="778C3E77"/>
    <w:rsid w:val="778D031B"/>
    <w:rsid w:val="77B77146"/>
    <w:rsid w:val="77C16217"/>
    <w:rsid w:val="77F43CE9"/>
    <w:rsid w:val="7819395D"/>
    <w:rsid w:val="786D3CA8"/>
    <w:rsid w:val="7883171E"/>
    <w:rsid w:val="78931961"/>
    <w:rsid w:val="78992CEF"/>
    <w:rsid w:val="78AF2513"/>
    <w:rsid w:val="78B17078"/>
    <w:rsid w:val="78CF04BF"/>
    <w:rsid w:val="793C3390"/>
    <w:rsid w:val="793F5645"/>
    <w:rsid w:val="79860A5D"/>
    <w:rsid w:val="79FA77BE"/>
    <w:rsid w:val="7A122D59"/>
    <w:rsid w:val="7A2605B3"/>
    <w:rsid w:val="7A326F58"/>
    <w:rsid w:val="7A4E1337"/>
    <w:rsid w:val="7A965738"/>
    <w:rsid w:val="7AB61937"/>
    <w:rsid w:val="7AC027B5"/>
    <w:rsid w:val="7AC878BC"/>
    <w:rsid w:val="7AE55D78"/>
    <w:rsid w:val="7AEE7323"/>
    <w:rsid w:val="7B007056"/>
    <w:rsid w:val="7B034450"/>
    <w:rsid w:val="7B0F7299"/>
    <w:rsid w:val="7B551150"/>
    <w:rsid w:val="7B5A472C"/>
    <w:rsid w:val="7B62766C"/>
    <w:rsid w:val="7B786BEC"/>
    <w:rsid w:val="7B841A35"/>
    <w:rsid w:val="7BA619AB"/>
    <w:rsid w:val="7BAD0F8C"/>
    <w:rsid w:val="7BB340C8"/>
    <w:rsid w:val="7BC6204D"/>
    <w:rsid w:val="7BFE1C08"/>
    <w:rsid w:val="7C044924"/>
    <w:rsid w:val="7C0D1A2A"/>
    <w:rsid w:val="7C2D5C29"/>
    <w:rsid w:val="7C5E5DE2"/>
    <w:rsid w:val="7C6A15B3"/>
    <w:rsid w:val="7CB65C1E"/>
    <w:rsid w:val="7CF77FE5"/>
    <w:rsid w:val="7D0050EB"/>
    <w:rsid w:val="7D0D04CE"/>
    <w:rsid w:val="7D124E1E"/>
    <w:rsid w:val="7D562F5D"/>
    <w:rsid w:val="7D6A4C5A"/>
    <w:rsid w:val="7D6B6AB1"/>
    <w:rsid w:val="7D830876"/>
    <w:rsid w:val="7D902913"/>
    <w:rsid w:val="7DB8161E"/>
    <w:rsid w:val="7DC720AD"/>
    <w:rsid w:val="7DC9372F"/>
    <w:rsid w:val="7DC93E75"/>
    <w:rsid w:val="7DCA74A7"/>
    <w:rsid w:val="7DD65E4C"/>
    <w:rsid w:val="7DE06CCB"/>
    <w:rsid w:val="7DE22A43"/>
    <w:rsid w:val="7E0155BF"/>
    <w:rsid w:val="7E573431"/>
    <w:rsid w:val="7E795155"/>
    <w:rsid w:val="7E955D07"/>
    <w:rsid w:val="7E991353"/>
    <w:rsid w:val="7EA47CF8"/>
    <w:rsid w:val="7EE30820"/>
    <w:rsid w:val="7F121106"/>
    <w:rsid w:val="7F1906E6"/>
    <w:rsid w:val="7F1B7FBA"/>
    <w:rsid w:val="7F3B240A"/>
    <w:rsid w:val="7F4514DB"/>
    <w:rsid w:val="7F6776A3"/>
    <w:rsid w:val="7F8738A2"/>
    <w:rsid w:val="7F8E4C30"/>
    <w:rsid w:val="7FCC45CD"/>
    <w:rsid w:val="7FEA3E3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80" w:firstLineChars="200"/>
    </w:pPr>
    <w:rPr>
      <w:rFonts w:ascii="宋体" w:hAnsi="宋体" w:eastAsia="宋体" w:cs="宋体"/>
      <w:b/>
      <w:bCs/>
      <w:kern w:val="2"/>
      <w:sz w:val="24"/>
      <w:szCs w:val="24"/>
      <w:lang w:val="en-US" w:eastAsia="zh-CN" w:bidi="ar-SA"/>
    </w:rPr>
  </w:style>
  <w:style w:type="paragraph" w:styleId="4">
    <w:name w:val="heading 1"/>
    <w:basedOn w:val="1"/>
    <w:next w:val="1"/>
    <w:link w:val="26"/>
    <w:autoRedefine/>
    <w:qFormat/>
    <w:uiPriority w:val="0"/>
    <w:pPr>
      <w:keepNext/>
      <w:keepLines/>
      <w:spacing w:before="340" w:after="330" w:line="578" w:lineRule="auto"/>
      <w:outlineLvl w:val="0"/>
    </w:pPr>
    <w:rPr>
      <w:b w:val="0"/>
      <w:bCs w:val="0"/>
      <w:kern w:val="44"/>
      <w:sz w:val="44"/>
      <w:szCs w:val="44"/>
    </w:rPr>
  </w:style>
  <w:style w:type="paragraph" w:styleId="5">
    <w:name w:val="heading 4"/>
    <w:basedOn w:val="1"/>
    <w:next w:val="1"/>
    <w:link w:val="24"/>
    <w:autoRedefine/>
    <w:qFormat/>
    <w:uiPriority w:val="0"/>
    <w:pPr>
      <w:keepNext/>
      <w:keepLines/>
      <w:outlineLvl w:val="3"/>
    </w:pPr>
    <w:rPr>
      <w:rFonts w:ascii="Arial" w:hAnsi="Arial"/>
      <w:b w:val="0"/>
      <w:kern w:val="0"/>
      <w:sz w:val="20"/>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0" w:leftChars="0"/>
    </w:pPr>
  </w:style>
  <w:style w:type="paragraph" w:styleId="3">
    <w:name w:val="Body Text Indent"/>
    <w:basedOn w:val="1"/>
    <w:autoRedefine/>
    <w:semiHidden/>
    <w:unhideWhenUsed/>
    <w:qFormat/>
    <w:uiPriority w:val="99"/>
    <w:pPr>
      <w:spacing w:after="120"/>
      <w:ind w:left="420" w:leftChars="200"/>
    </w:pPr>
  </w:style>
  <w:style w:type="paragraph" w:styleId="6">
    <w:name w:val="annotation text"/>
    <w:basedOn w:val="1"/>
    <w:link w:val="21"/>
    <w:autoRedefine/>
    <w:qFormat/>
    <w:uiPriority w:val="0"/>
  </w:style>
  <w:style w:type="paragraph" w:styleId="7">
    <w:name w:val="footer"/>
    <w:basedOn w:val="1"/>
    <w:link w:val="20"/>
    <w:autoRedefine/>
    <w:qFormat/>
    <w:uiPriority w:val="99"/>
    <w:pPr>
      <w:tabs>
        <w:tab w:val="center" w:pos="4153"/>
        <w:tab w:val="right" w:pos="8306"/>
      </w:tabs>
      <w:snapToGrid w:val="0"/>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style>
  <w:style w:type="paragraph" w:styleId="10">
    <w:name w:val="Normal (Web)"/>
    <w:basedOn w:val="1"/>
    <w:unhideWhenUsed/>
    <w:qFormat/>
    <w:uiPriority w:val="0"/>
    <w:pPr>
      <w:spacing w:before="100" w:beforeAutospacing="1" w:after="100" w:afterAutospacing="1"/>
    </w:pPr>
    <w:rPr>
      <w:rFonts w:cs="Times New Roman"/>
      <w:kern w:val="0"/>
    </w:rPr>
  </w:style>
  <w:style w:type="paragraph" w:styleId="11">
    <w:name w:val="annotation subject"/>
    <w:basedOn w:val="6"/>
    <w:next w:val="6"/>
    <w:link w:val="22"/>
    <w:autoRedefine/>
    <w:qFormat/>
    <w:uiPriority w:val="0"/>
    <w:rPr>
      <w:b w:val="0"/>
      <w:bCs w:val="0"/>
    </w:r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qFormat/>
    <w:uiPriority w:val="99"/>
    <w:rPr>
      <w:color w:val="0563C1" w:themeColor="hyperlink"/>
      <w:u w:val="single"/>
      <w14:textFill>
        <w14:solidFill>
          <w14:schemeClr w14:val="hlink"/>
        </w14:solidFill>
      </w14:textFill>
    </w:rPr>
  </w:style>
  <w:style w:type="character" w:styleId="16">
    <w:name w:val="annotation reference"/>
    <w:basedOn w:val="14"/>
    <w:autoRedefine/>
    <w:qFormat/>
    <w:uiPriority w:val="0"/>
    <w:rPr>
      <w:sz w:val="21"/>
      <w:szCs w:val="21"/>
    </w:rPr>
  </w:style>
  <w:style w:type="paragraph" w:customStyle="1" w:styleId="17">
    <w:name w:val="表格文字"/>
    <w:basedOn w:val="1"/>
    <w:autoRedefine/>
    <w:qFormat/>
    <w:uiPriority w:val="0"/>
    <w:pPr>
      <w:adjustRightInd w:val="0"/>
      <w:ind w:firstLine="482"/>
      <w:textAlignment w:val="baseline"/>
    </w:pPr>
    <w:rPr>
      <w:kern w:val="0"/>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8"/>
    <w:autoRedefine/>
    <w:qFormat/>
    <w:uiPriority w:val="0"/>
    <w:rPr>
      <w:kern w:val="2"/>
      <w:sz w:val="18"/>
      <w:szCs w:val="18"/>
    </w:rPr>
  </w:style>
  <w:style w:type="character" w:customStyle="1" w:styleId="20">
    <w:name w:val="页脚 字符"/>
    <w:basedOn w:val="14"/>
    <w:link w:val="7"/>
    <w:autoRedefine/>
    <w:qFormat/>
    <w:uiPriority w:val="99"/>
    <w:rPr>
      <w:kern w:val="2"/>
      <w:sz w:val="18"/>
      <w:szCs w:val="18"/>
    </w:rPr>
  </w:style>
  <w:style w:type="character" w:customStyle="1" w:styleId="21">
    <w:name w:val="批注文字 字符"/>
    <w:basedOn w:val="14"/>
    <w:link w:val="6"/>
    <w:autoRedefine/>
    <w:qFormat/>
    <w:uiPriority w:val="0"/>
    <w:rPr>
      <w:kern w:val="2"/>
      <w:sz w:val="21"/>
      <w:szCs w:val="24"/>
    </w:rPr>
  </w:style>
  <w:style w:type="character" w:customStyle="1" w:styleId="22">
    <w:name w:val="批注主题 字符"/>
    <w:basedOn w:val="21"/>
    <w:link w:val="11"/>
    <w:autoRedefine/>
    <w:qFormat/>
    <w:uiPriority w:val="0"/>
    <w:rPr>
      <w:b/>
      <w:bCs/>
      <w:kern w:val="2"/>
      <w:sz w:val="21"/>
      <w:szCs w:val="24"/>
    </w:rPr>
  </w:style>
  <w:style w:type="character" w:customStyle="1" w:styleId="23">
    <w:name w:val="未处理的提及1"/>
    <w:basedOn w:val="14"/>
    <w:autoRedefine/>
    <w:semiHidden/>
    <w:unhideWhenUsed/>
    <w:qFormat/>
    <w:uiPriority w:val="99"/>
    <w:rPr>
      <w:color w:val="605E5C"/>
      <w:shd w:val="clear" w:color="auto" w:fill="E1DFDD"/>
    </w:rPr>
  </w:style>
  <w:style w:type="character" w:customStyle="1" w:styleId="24">
    <w:name w:val="标题 4 字符"/>
    <w:basedOn w:val="14"/>
    <w:link w:val="5"/>
    <w:autoRedefine/>
    <w:qFormat/>
    <w:uiPriority w:val="0"/>
    <w:rPr>
      <w:rFonts w:ascii="Arial" w:hAnsi="Arial"/>
      <w:b/>
      <w:szCs w:val="24"/>
    </w:rPr>
  </w:style>
  <w:style w:type="paragraph" w:customStyle="1" w:styleId="25">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标题 1 字符"/>
    <w:basedOn w:val="14"/>
    <w:link w:val="4"/>
    <w:autoRedefine/>
    <w:qFormat/>
    <w:uiPriority w:val="0"/>
    <w:rPr>
      <w:b/>
      <w:bCs/>
      <w:kern w:val="44"/>
      <w:sz w:val="44"/>
      <w:szCs w:val="44"/>
    </w:rPr>
  </w:style>
  <w:style w:type="paragraph" w:customStyle="1" w:styleId="27">
    <w:name w:val="TOC 标题1"/>
    <w:basedOn w:val="4"/>
    <w:next w:val="1"/>
    <w:autoRedefine/>
    <w:unhideWhenUsed/>
    <w:qFormat/>
    <w:uiPriority w:val="39"/>
    <w:pPr>
      <w:widowControl/>
      <w:spacing w:before="240" w:after="0" w:line="259" w:lineRule="auto"/>
      <w:outlineLvl w:val="9"/>
    </w:pPr>
    <w:rPr>
      <w:rFonts w:asciiTheme="majorHAnsi" w:hAnsiTheme="majorHAnsi" w:eastAsiaTheme="majorEastAsia" w:cstheme="majorBidi"/>
      <w:b/>
      <w:bCs/>
      <w:color w:val="2E75B6" w:themeColor="accent1" w:themeShade="BF"/>
      <w:kern w:val="0"/>
      <w:sz w:val="32"/>
      <w:szCs w:val="32"/>
    </w:rPr>
  </w:style>
  <w:style w:type="paragraph" w:customStyle="1" w:styleId="28">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31">
    <w:name w:val="List Paragraph"/>
    <w:basedOn w:val="1"/>
    <w:unhideWhenUsed/>
    <w:qFormat/>
    <w:uiPriority w:val="99"/>
    <w:pPr>
      <w:ind w:firstLine="420"/>
    </w:pPr>
  </w:style>
  <w:style w:type="character" w:customStyle="1" w:styleId="32">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06C9-12FB-4CFE-BA7C-52CAB8A56F68}">
  <ds:schemaRefs/>
</ds:datastoreItem>
</file>

<file path=docProps/app.xml><?xml version="1.0" encoding="utf-8"?>
<Properties xmlns="http://schemas.openxmlformats.org/officeDocument/2006/extended-properties" xmlns:vt="http://schemas.openxmlformats.org/officeDocument/2006/docPropsVTypes">
  <Template>Normal</Template>
  <Pages>6</Pages>
  <Words>3292</Words>
  <Characters>3479</Characters>
  <Lines>31</Lines>
  <Paragraphs>8</Paragraphs>
  <TotalTime>10</TotalTime>
  <ScaleCrop>false</ScaleCrop>
  <LinksUpToDate>false</LinksUpToDate>
  <CharactersWithSpaces>3814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2023-11-19T08:44:00Z</dcterms:created>
  <dc:creator>王航蕾</dc:creator>
  <cp:lastModifiedBy>036号默卿卿</cp:lastModifiedBy>
  <cp:lastPrinted>2023-11-19T08:43:00Z</cp:lastPrinted>
  <dcterms:modified xsi:type="dcterms:W3CDTF">2024-08-12T12:29:47Z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DD40830595334F3BB24AEBAE83B95B64_13</vt:lpwstr>
  </property>
</Properties>
</file>