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4FC8F">
      <w:pPr>
        <w:pStyle w:val="10"/>
        <w:spacing w:line="276" w:lineRule="auto"/>
        <w:ind w:firstLine="0"/>
        <w:jc w:val="center"/>
        <w:rPr>
          <w:rFonts w:ascii="Times New Roman"/>
          <w:b/>
          <w:sz w:val="36"/>
          <w:szCs w:val="36"/>
          <w:lang w:eastAsia="zh-CN"/>
        </w:rPr>
      </w:pPr>
      <w:r>
        <w:rPr>
          <w:rFonts w:hint="eastAsia" w:ascii="Times New Roman"/>
          <w:b/>
          <w:sz w:val="36"/>
          <w:szCs w:val="36"/>
          <w:lang w:val="en-US" w:eastAsia="zh-CN"/>
        </w:rPr>
        <w:t>宁波振诚矿业有限公司2号生产线头破挡墙砌筑工程</w:t>
      </w:r>
      <w:r>
        <w:rPr>
          <w:rFonts w:ascii="Times New Roman"/>
          <w:b/>
          <w:sz w:val="36"/>
          <w:szCs w:val="36"/>
          <w:lang w:eastAsia="zh-CN"/>
        </w:rPr>
        <w:t>招标公告</w:t>
      </w:r>
    </w:p>
    <w:p w14:paraId="68EA111B">
      <w:pPr>
        <w:spacing w:line="360" w:lineRule="auto"/>
        <w:rPr>
          <w:b/>
          <w:color w:val="auto"/>
          <w:sz w:val="21"/>
          <w:szCs w:val="21"/>
        </w:rPr>
      </w:pPr>
      <w:r>
        <w:rPr>
          <w:b/>
          <w:color w:val="auto"/>
          <w:sz w:val="21"/>
          <w:szCs w:val="21"/>
        </w:rPr>
        <w:t>1. 招标条件</w:t>
      </w:r>
    </w:p>
    <w:p w14:paraId="5A1D069A">
      <w:pPr>
        <w:widowControl w:val="0"/>
        <w:spacing w:line="360" w:lineRule="auto"/>
        <w:rPr>
          <w:color w:val="auto"/>
          <w:sz w:val="21"/>
          <w:szCs w:val="21"/>
          <w:lang w:eastAsia="zh-CN"/>
        </w:rPr>
      </w:pPr>
      <w:r>
        <w:rPr>
          <w:color w:val="auto"/>
          <w:sz w:val="21"/>
          <w:szCs w:val="21"/>
          <w:lang w:eastAsia="zh-CN"/>
        </w:rPr>
        <w:t xml:space="preserve">    本招标项目</w:t>
      </w:r>
      <w:r>
        <w:rPr>
          <w:rFonts w:hint="eastAsia"/>
          <w:color w:val="auto"/>
          <w:sz w:val="21"/>
          <w:szCs w:val="21"/>
          <w:lang w:eastAsia="zh-CN"/>
        </w:rPr>
        <w:t xml:space="preserve"> </w:t>
      </w:r>
      <w:r>
        <w:rPr>
          <w:rFonts w:hint="eastAsia"/>
          <w:color w:val="auto"/>
          <w:sz w:val="21"/>
          <w:szCs w:val="21"/>
          <w:u w:val="single"/>
          <w:lang w:eastAsia="zh-CN"/>
        </w:rPr>
        <w:t xml:space="preserve">   2号生产线头破挡墙砌筑工程   </w:t>
      </w:r>
      <w:r>
        <w:rPr>
          <w:color w:val="auto"/>
          <w:sz w:val="21"/>
          <w:szCs w:val="21"/>
          <w:lang w:eastAsia="zh-CN"/>
        </w:rPr>
        <w:t>，招标人为</w:t>
      </w:r>
      <w:r>
        <w:rPr>
          <w:rFonts w:hint="eastAsia"/>
          <w:color w:val="auto"/>
          <w:sz w:val="21"/>
          <w:szCs w:val="21"/>
          <w:u w:val="single"/>
          <w:lang w:eastAsia="zh-CN"/>
        </w:rPr>
        <w:t xml:space="preserve">   宁波振诚矿业有限公司  </w:t>
      </w:r>
      <w:r>
        <w:rPr>
          <w:color w:val="auto"/>
          <w:sz w:val="21"/>
          <w:szCs w:val="21"/>
          <w:lang w:eastAsia="zh-CN"/>
        </w:rPr>
        <w:t>，建设资金来自</w:t>
      </w:r>
      <w:r>
        <w:rPr>
          <w:rFonts w:hint="eastAsia"/>
          <w:color w:val="auto"/>
          <w:sz w:val="21"/>
          <w:szCs w:val="21"/>
          <w:u w:val="single"/>
          <w:lang w:eastAsia="zh-CN"/>
        </w:rPr>
        <w:t xml:space="preserve">  100%</w:t>
      </w:r>
      <w:r>
        <w:rPr>
          <w:color w:val="auto"/>
          <w:sz w:val="21"/>
          <w:szCs w:val="21"/>
          <w:u w:val="single"/>
          <w:lang w:eastAsia="zh-CN"/>
        </w:rPr>
        <w:t>自筹</w:t>
      </w:r>
      <w:r>
        <w:rPr>
          <w:rFonts w:hint="eastAsia"/>
          <w:color w:val="auto"/>
          <w:sz w:val="21"/>
          <w:szCs w:val="21"/>
          <w:u w:val="single"/>
          <w:lang w:eastAsia="zh-CN"/>
        </w:rPr>
        <w:t xml:space="preserve">  </w:t>
      </w:r>
      <w:r>
        <w:rPr>
          <w:color w:val="auto"/>
          <w:sz w:val="21"/>
          <w:szCs w:val="21"/>
          <w:lang w:eastAsia="zh-CN"/>
        </w:rPr>
        <w:t>。项目已具备招标条件，现对该项目的施工进行公开招标，实行资格后审。</w:t>
      </w:r>
    </w:p>
    <w:p w14:paraId="255454A9">
      <w:pPr>
        <w:widowControl w:val="0"/>
        <w:spacing w:line="360" w:lineRule="auto"/>
        <w:rPr>
          <w:b/>
          <w:color w:val="auto"/>
          <w:sz w:val="21"/>
          <w:szCs w:val="21"/>
          <w:lang w:eastAsia="zh-CN"/>
        </w:rPr>
      </w:pPr>
      <w:r>
        <w:rPr>
          <w:b/>
          <w:color w:val="auto"/>
          <w:sz w:val="21"/>
          <w:szCs w:val="21"/>
          <w:lang w:eastAsia="zh-CN"/>
        </w:rPr>
        <w:t>2. 项目概况与招标范围</w:t>
      </w:r>
    </w:p>
    <w:p w14:paraId="1BDCCF90">
      <w:pPr>
        <w:spacing w:line="360" w:lineRule="auto"/>
        <w:ind w:firstLine="420" w:firstLineChars="200"/>
        <w:rPr>
          <w:color w:val="auto"/>
          <w:sz w:val="21"/>
          <w:szCs w:val="21"/>
          <w:u w:val="single"/>
          <w:lang w:eastAsia="zh-CN"/>
        </w:rPr>
      </w:pPr>
      <w:r>
        <w:rPr>
          <w:color w:val="auto"/>
          <w:sz w:val="21"/>
          <w:szCs w:val="21"/>
          <w:lang w:eastAsia="zh-CN"/>
        </w:rPr>
        <w:t>建设地点：</w:t>
      </w:r>
      <w:r>
        <w:rPr>
          <w:rFonts w:hint="eastAsia"/>
          <w:color w:val="auto"/>
          <w:kern w:val="2"/>
          <w:sz w:val="21"/>
          <w:szCs w:val="21"/>
          <w:u w:val="single"/>
          <w:lang w:eastAsia="zh-CN"/>
        </w:rPr>
        <w:t xml:space="preserve">    宁波大榭开发区穿鼻岛        </w:t>
      </w:r>
      <w:r>
        <w:rPr>
          <w:color w:val="auto"/>
          <w:sz w:val="21"/>
          <w:szCs w:val="21"/>
          <w:lang w:eastAsia="zh-CN"/>
        </w:rPr>
        <w:t>。</w:t>
      </w:r>
    </w:p>
    <w:p w14:paraId="63559B1E">
      <w:pPr>
        <w:pStyle w:val="4"/>
        <w:tabs>
          <w:tab w:val="left" w:pos="1343"/>
          <w:tab w:val="left" w:pos="2697"/>
          <w:tab w:val="left" w:pos="3264"/>
          <w:tab w:val="left" w:pos="4896"/>
          <w:tab w:val="left" w:pos="6005"/>
          <w:tab w:val="left" w:pos="7085"/>
          <w:tab w:val="left" w:pos="7498"/>
        </w:tabs>
        <w:snapToGrid w:val="0"/>
        <w:spacing w:after="0" w:line="360" w:lineRule="auto"/>
        <w:ind w:firstLine="420" w:firstLineChars="200"/>
        <w:rPr>
          <w:color w:val="auto"/>
          <w:sz w:val="21"/>
          <w:szCs w:val="21"/>
          <w:lang w:eastAsia="zh-CN"/>
        </w:rPr>
      </w:pPr>
      <w:r>
        <w:rPr>
          <w:color w:val="auto"/>
          <w:sz w:val="21"/>
          <w:szCs w:val="21"/>
          <w:lang w:eastAsia="zh-CN"/>
        </w:rPr>
        <w:t>招标控制价：</w:t>
      </w:r>
      <w:r>
        <w:rPr>
          <w:rFonts w:hint="eastAsia"/>
          <w:color w:val="auto"/>
          <w:sz w:val="21"/>
          <w:szCs w:val="21"/>
          <w:u w:val="single"/>
          <w:lang w:eastAsia="zh-CN"/>
        </w:rPr>
        <w:t xml:space="preserve"> 2612891元</w:t>
      </w:r>
      <w:r>
        <w:rPr>
          <w:rFonts w:hint="eastAsia" w:ascii="宋体" w:hAnsi="宋体" w:cs="宋体"/>
          <w:color w:val="auto"/>
          <w:sz w:val="21"/>
          <w:szCs w:val="21"/>
          <w:lang w:eastAsia="zh-CN"/>
        </w:rPr>
        <w:t>。</w:t>
      </w:r>
    </w:p>
    <w:p w14:paraId="2263EDDA">
      <w:pPr>
        <w:pStyle w:val="10"/>
        <w:spacing w:line="360" w:lineRule="auto"/>
        <w:ind w:firstLine="420" w:firstLineChars="200"/>
        <w:rPr>
          <w:rFonts w:ascii="Times New Roman"/>
          <w:color w:val="auto"/>
          <w:sz w:val="21"/>
          <w:szCs w:val="21"/>
          <w:lang w:eastAsia="zh-CN"/>
        </w:rPr>
      </w:pPr>
      <w:r>
        <w:rPr>
          <w:rFonts w:ascii="Times New Roman"/>
          <w:color w:val="auto"/>
          <w:sz w:val="21"/>
          <w:szCs w:val="21"/>
          <w:lang w:eastAsia="zh-CN"/>
        </w:rPr>
        <w:t>计划工期：</w:t>
      </w:r>
      <w:r>
        <w:rPr>
          <w:rFonts w:hint="eastAsia" w:ascii="Times New Roman"/>
          <w:color w:val="auto"/>
          <w:sz w:val="21"/>
          <w:szCs w:val="21"/>
          <w:lang w:eastAsia="zh-CN"/>
        </w:rPr>
        <w:t xml:space="preserve">  暂定80</w:t>
      </w:r>
      <w:r>
        <w:rPr>
          <w:rFonts w:ascii="Times New Roman"/>
          <w:color w:val="auto"/>
          <w:sz w:val="21"/>
          <w:szCs w:val="21"/>
          <w:lang w:eastAsia="zh-CN"/>
        </w:rPr>
        <w:t>日历天</w:t>
      </w:r>
      <w:r>
        <w:rPr>
          <w:rFonts w:hint="eastAsia" w:ascii="Times New Roman"/>
          <w:color w:val="auto"/>
          <w:sz w:val="21"/>
          <w:szCs w:val="21"/>
          <w:lang w:eastAsia="zh-CN"/>
        </w:rPr>
        <w:t>，以发包人书面下达的开工指令起开始计算</w:t>
      </w:r>
      <w:r>
        <w:rPr>
          <w:rFonts w:ascii="Times New Roman"/>
          <w:color w:val="auto"/>
          <w:sz w:val="21"/>
          <w:szCs w:val="21"/>
          <w:lang w:eastAsia="zh-CN"/>
        </w:rPr>
        <w:t>。</w:t>
      </w:r>
    </w:p>
    <w:p w14:paraId="3A4E28F4">
      <w:pPr>
        <w:pStyle w:val="10"/>
        <w:spacing w:line="360" w:lineRule="auto"/>
        <w:ind w:firstLine="420" w:firstLineChars="200"/>
        <w:rPr>
          <w:rFonts w:ascii="Times New Roman"/>
          <w:color w:val="auto"/>
          <w:kern w:val="2"/>
          <w:sz w:val="21"/>
          <w:szCs w:val="21"/>
          <w:u w:val="single"/>
          <w:lang w:eastAsia="zh-CN"/>
        </w:rPr>
      </w:pPr>
      <w:r>
        <w:rPr>
          <w:rFonts w:ascii="Times New Roman"/>
          <w:color w:val="auto"/>
          <w:sz w:val="21"/>
          <w:szCs w:val="21"/>
          <w:lang w:eastAsia="zh-CN"/>
        </w:rPr>
        <w:t>招标范围：</w:t>
      </w:r>
      <w:r>
        <w:rPr>
          <w:rFonts w:hint="eastAsia" w:ascii="Times New Roman"/>
          <w:color w:val="auto"/>
          <w:kern w:val="2"/>
          <w:sz w:val="21"/>
          <w:szCs w:val="21"/>
          <w:u w:val="single"/>
          <w:lang w:eastAsia="zh-CN"/>
        </w:rPr>
        <w:t>招标图纸范围内工程的施工（具体详见工程量清单）。</w:t>
      </w:r>
    </w:p>
    <w:p w14:paraId="2C4AE45E">
      <w:pPr>
        <w:pStyle w:val="10"/>
        <w:spacing w:line="360" w:lineRule="auto"/>
        <w:ind w:firstLine="420" w:firstLineChars="200"/>
        <w:rPr>
          <w:rFonts w:ascii="Times New Roman"/>
          <w:color w:val="auto"/>
          <w:sz w:val="21"/>
          <w:szCs w:val="21"/>
          <w:lang w:eastAsia="zh-CN"/>
        </w:rPr>
      </w:pPr>
      <w:r>
        <w:rPr>
          <w:rFonts w:hint="eastAsia" w:ascii="Times New Roman"/>
          <w:color w:val="auto"/>
          <w:kern w:val="2"/>
          <w:sz w:val="21"/>
          <w:szCs w:val="21"/>
          <w:u w:val="single"/>
          <w:lang w:eastAsia="zh-CN"/>
        </w:rPr>
        <w:t>注：项目内所用到块石及挖机由发包人提供，块石运送到施工现场</w:t>
      </w:r>
      <w:r>
        <w:rPr>
          <w:rFonts w:ascii="Times New Roman"/>
          <w:color w:val="auto"/>
          <w:sz w:val="21"/>
          <w:szCs w:val="21"/>
          <w:lang w:eastAsia="zh-CN"/>
        </w:rPr>
        <w:t>。</w:t>
      </w:r>
    </w:p>
    <w:p w14:paraId="46407E11">
      <w:pPr>
        <w:pStyle w:val="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质量要求：</w:t>
      </w:r>
      <w:r>
        <w:rPr>
          <w:rFonts w:hint="eastAsia" w:ascii="宋体" w:hAnsi="宋体" w:cs="宋体"/>
          <w:color w:val="auto"/>
          <w:kern w:val="2"/>
          <w:sz w:val="21"/>
          <w:szCs w:val="21"/>
          <w:u w:val="single"/>
          <w:lang w:eastAsia="zh-CN"/>
        </w:rPr>
        <w:t>按国家施工验收规范一次性验收合格</w:t>
      </w:r>
      <w:r>
        <w:rPr>
          <w:rFonts w:hint="eastAsia" w:ascii="宋体" w:hAnsi="宋体" w:cs="宋体"/>
          <w:color w:val="auto"/>
          <w:kern w:val="2"/>
          <w:sz w:val="21"/>
          <w:szCs w:val="21"/>
          <w:lang w:eastAsia="zh-CN"/>
        </w:rPr>
        <w:t>。</w:t>
      </w:r>
    </w:p>
    <w:p w14:paraId="4C200F5E">
      <w:pPr>
        <w:pStyle w:val="4"/>
        <w:tabs>
          <w:tab w:val="left" w:pos="1343"/>
          <w:tab w:val="left" w:pos="2697"/>
          <w:tab w:val="left" w:pos="3264"/>
          <w:tab w:val="left" w:pos="4896"/>
          <w:tab w:val="left" w:pos="6005"/>
          <w:tab w:val="left" w:pos="7085"/>
          <w:tab w:val="left" w:pos="7498"/>
        </w:tabs>
        <w:snapToGrid w:val="0"/>
        <w:spacing w:after="0" w:line="360" w:lineRule="auto"/>
        <w:ind w:firstLine="420" w:firstLineChars="200"/>
        <w:rPr>
          <w:color w:val="auto"/>
          <w:sz w:val="21"/>
          <w:szCs w:val="21"/>
          <w:lang w:eastAsia="zh-CN"/>
        </w:rPr>
      </w:pPr>
      <w:r>
        <w:rPr>
          <w:rFonts w:hint="eastAsia" w:ascii="宋体" w:hAnsi="宋体" w:cs="宋体"/>
          <w:color w:val="auto"/>
          <w:kern w:val="2"/>
          <w:sz w:val="21"/>
          <w:szCs w:val="21"/>
          <w:lang w:eastAsia="zh-CN"/>
        </w:rPr>
        <w:t>安全文明施工要求：</w:t>
      </w:r>
      <w:r>
        <w:rPr>
          <w:rFonts w:hint="eastAsia"/>
          <w:bCs/>
          <w:color w:val="auto"/>
          <w:kern w:val="2"/>
          <w:sz w:val="21"/>
          <w:szCs w:val="21"/>
          <w:u w:val="single"/>
          <w:lang w:eastAsia="zh-CN"/>
        </w:rPr>
        <w:t>按现行规定达</w:t>
      </w:r>
      <w:r>
        <w:rPr>
          <w:bCs/>
          <w:color w:val="auto"/>
          <w:kern w:val="2"/>
          <w:sz w:val="21"/>
          <w:szCs w:val="21"/>
          <w:u w:val="single"/>
          <w:lang w:eastAsia="zh-CN"/>
        </w:rPr>
        <w:t>合格</w:t>
      </w:r>
      <w:r>
        <w:rPr>
          <w:rFonts w:hint="eastAsia"/>
          <w:bCs/>
          <w:color w:val="auto"/>
          <w:kern w:val="2"/>
          <w:sz w:val="21"/>
          <w:szCs w:val="21"/>
          <w:u w:val="single"/>
          <w:lang w:eastAsia="zh-CN"/>
        </w:rPr>
        <w:t>标准 。</w:t>
      </w:r>
    </w:p>
    <w:p w14:paraId="7A592ECF">
      <w:pPr>
        <w:pStyle w:val="10"/>
        <w:spacing w:line="360" w:lineRule="auto"/>
        <w:ind w:firstLine="420" w:firstLineChars="200"/>
        <w:rPr>
          <w:rFonts w:ascii="Times New Roman"/>
          <w:color w:val="auto"/>
          <w:sz w:val="21"/>
          <w:szCs w:val="21"/>
          <w:lang w:eastAsia="zh-CN"/>
        </w:rPr>
      </w:pPr>
      <w:r>
        <w:rPr>
          <w:rFonts w:ascii="Times New Roman"/>
          <w:color w:val="auto"/>
          <w:sz w:val="21"/>
          <w:szCs w:val="21"/>
          <w:lang w:eastAsia="zh-CN"/>
        </w:rPr>
        <w:t>标段划分：</w:t>
      </w:r>
      <w:r>
        <w:rPr>
          <w:rFonts w:ascii="Times New Roman"/>
          <w:color w:val="auto"/>
          <w:sz w:val="21"/>
          <w:szCs w:val="21"/>
          <w:u w:val="single"/>
          <w:lang w:eastAsia="zh-CN"/>
        </w:rPr>
        <w:t>1个</w:t>
      </w:r>
      <w:r>
        <w:rPr>
          <w:rFonts w:ascii="Times New Roman"/>
          <w:color w:val="auto"/>
          <w:sz w:val="21"/>
          <w:szCs w:val="21"/>
          <w:lang w:eastAsia="zh-CN"/>
        </w:rPr>
        <w:t>。</w:t>
      </w:r>
    </w:p>
    <w:p w14:paraId="0CAE2273">
      <w:pPr>
        <w:spacing w:line="360" w:lineRule="auto"/>
        <w:rPr>
          <w:color w:val="auto"/>
          <w:sz w:val="21"/>
          <w:szCs w:val="21"/>
          <w:lang w:eastAsia="zh-CN"/>
        </w:rPr>
      </w:pPr>
      <w:bookmarkStart w:id="0" w:name="_Toc12877"/>
      <w:bookmarkStart w:id="1" w:name="_Toc500941681"/>
      <w:bookmarkStart w:id="2" w:name="_Toc387417948"/>
      <w:bookmarkStart w:id="3" w:name="_Toc387418238"/>
      <w:bookmarkStart w:id="4" w:name="_Toc325317107"/>
      <w:bookmarkStart w:id="5" w:name="_Toc387414991"/>
      <w:r>
        <w:rPr>
          <w:b/>
          <w:color w:val="auto"/>
          <w:sz w:val="21"/>
          <w:szCs w:val="21"/>
          <w:lang w:eastAsia="zh-CN"/>
        </w:rPr>
        <w:t>3. 投标人资格要求</w:t>
      </w:r>
      <w:bookmarkEnd w:id="0"/>
      <w:bookmarkEnd w:id="1"/>
      <w:bookmarkEnd w:id="2"/>
      <w:bookmarkEnd w:id="3"/>
      <w:bookmarkEnd w:id="4"/>
      <w:bookmarkEnd w:id="5"/>
    </w:p>
    <w:p w14:paraId="1224C71C">
      <w:pPr>
        <w:pStyle w:val="10"/>
        <w:spacing w:line="360" w:lineRule="auto"/>
        <w:ind w:firstLine="420" w:firstLineChars="200"/>
        <w:rPr>
          <w:rFonts w:ascii="Times New Roman"/>
          <w:color w:val="auto"/>
          <w:sz w:val="21"/>
          <w:szCs w:val="21"/>
          <w:lang w:eastAsia="zh-CN"/>
        </w:rPr>
      </w:pPr>
      <w:r>
        <w:rPr>
          <w:rFonts w:ascii="Times New Roman"/>
          <w:color w:val="auto"/>
          <w:sz w:val="21"/>
          <w:szCs w:val="21"/>
          <w:lang w:eastAsia="zh-CN"/>
        </w:rPr>
        <w:t>3.1 本次招标要求投标人须具有合法有效的企业营业执照，安全生产许可证，须具备</w:t>
      </w:r>
      <w:r>
        <w:rPr>
          <w:rFonts w:hint="eastAsia" w:ascii="Times New Roman"/>
          <w:b/>
          <w:color w:val="auto"/>
          <w:sz w:val="21"/>
          <w:szCs w:val="21"/>
          <w:u w:val="single"/>
          <w:lang w:eastAsia="zh-CN"/>
        </w:rPr>
        <w:t>建筑工程施工总承包二级</w:t>
      </w:r>
      <w:r>
        <w:rPr>
          <w:rFonts w:ascii="Times New Roman"/>
          <w:color w:val="auto"/>
          <w:sz w:val="21"/>
          <w:szCs w:val="21"/>
          <w:lang w:eastAsia="zh-CN"/>
        </w:rPr>
        <w:t>，并在人员、设备、资金等方面具有相应的施工能力；</w:t>
      </w:r>
    </w:p>
    <w:p w14:paraId="3A0821D3">
      <w:pPr>
        <w:spacing w:line="360" w:lineRule="auto"/>
        <w:ind w:firstLine="420" w:firstLineChars="200"/>
        <w:rPr>
          <w:color w:val="auto"/>
          <w:sz w:val="21"/>
          <w:szCs w:val="21"/>
          <w:lang w:eastAsia="zh-CN"/>
        </w:rPr>
      </w:pPr>
      <w:r>
        <w:rPr>
          <w:color w:val="auto"/>
          <w:sz w:val="21"/>
          <w:szCs w:val="21"/>
          <w:lang w:eastAsia="zh-CN"/>
        </w:rPr>
        <w:t>3.2 本次招标</w:t>
      </w:r>
      <w:r>
        <w:rPr>
          <w:b/>
          <w:color w:val="auto"/>
          <w:sz w:val="21"/>
          <w:szCs w:val="21"/>
          <w:u w:val="single"/>
          <w:lang w:eastAsia="zh-CN"/>
        </w:rPr>
        <w:t>不接受</w:t>
      </w:r>
      <w:r>
        <w:rPr>
          <w:color w:val="auto"/>
          <w:sz w:val="21"/>
          <w:szCs w:val="21"/>
          <w:lang w:eastAsia="zh-CN"/>
        </w:rPr>
        <w:t>联合体投标；</w:t>
      </w:r>
    </w:p>
    <w:p w14:paraId="2893C658">
      <w:pPr>
        <w:spacing w:line="360" w:lineRule="auto"/>
        <w:ind w:firstLine="420" w:firstLineChars="200"/>
        <w:rPr>
          <w:color w:val="auto"/>
          <w:sz w:val="21"/>
          <w:szCs w:val="21"/>
          <w:lang w:eastAsia="zh-CN"/>
        </w:rPr>
      </w:pPr>
      <w:r>
        <w:rPr>
          <w:color w:val="auto"/>
          <w:sz w:val="21"/>
          <w:szCs w:val="21"/>
          <w:lang w:eastAsia="zh-CN"/>
        </w:rPr>
        <w:t>3.3 拟派项目经理须具备</w:t>
      </w:r>
      <w:r>
        <w:rPr>
          <w:rFonts w:hint="eastAsia"/>
          <w:b/>
          <w:color w:val="auto"/>
          <w:sz w:val="21"/>
          <w:szCs w:val="21"/>
          <w:u w:val="single"/>
          <w:lang w:eastAsia="zh-CN"/>
        </w:rPr>
        <w:t>一</w:t>
      </w:r>
      <w:r>
        <w:rPr>
          <w:b/>
          <w:color w:val="auto"/>
          <w:sz w:val="21"/>
          <w:szCs w:val="21"/>
          <w:u w:val="single"/>
          <w:lang w:eastAsia="zh-CN"/>
        </w:rPr>
        <w:t>级注册建造师及以上资格</w:t>
      </w:r>
      <w:r>
        <w:rPr>
          <w:color w:val="auto"/>
          <w:sz w:val="21"/>
          <w:szCs w:val="21"/>
          <w:lang w:eastAsia="zh-CN"/>
        </w:rPr>
        <w:t>，（注册）专业</w:t>
      </w:r>
      <w:r>
        <w:rPr>
          <w:rFonts w:hint="eastAsia"/>
          <w:b/>
          <w:color w:val="auto"/>
          <w:sz w:val="21"/>
          <w:szCs w:val="21"/>
          <w:u w:val="single"/>
          <w:lang w:eastAsia="zh-CN"/>
        </w:rPr>
        <w:t>市政工程</w:t>
      </w:r>
      <w:r>
        <w:rPr>
          <w:color w:val="auto"/>
          <w:sz w:val="21"/>
          <w:szCs w:val="21"/>
          <w:lang w:eastAsia="zh-CN"/>
        </w:rPr>
        <w:t>，具有有效的安全生产考核合格证（B证）</w:t>
      </w:r>
      <w:r>
        <w:rPr>
          <w:rFonts w:hint="eastAsia"/>
          <w:color w:val="auto"/>
          <w:sz w:val="21"/>
          <w:szCs w:val="21"/>
          <w:lang w:eastAsia="zh-CN"/>
        </w:rPr>
        <w:t>、中级工程师及以上职称</w:t>
      </w:r>
      <w:r>
        <w:rPr>
          <w:color w:val="auto"/>
          <w:sz w:val="21"/>
          <w:szCs w:val="21"/>
          <w:lang w:eastAsia="zh-CN"/>
        </w:rPr>
        <w:t>；</w:t>
      </w:r>
      <w:bookmarkStart w:id="6" w:name="_GoBack"/>
      <w:bookmarkEnd w:id="6"/>
    </w:p>
    <w:p w14:paraId="71178C65">
      <w:pPr>
        <w:pStyle w:val="10"/>
        <w:spacing w:line="360" w:lineRule="auto"/>
        <w:ind w:firstLine="420" w:firstLineChars="200"/>
        <w:rPr>
          <w:rFonts w:ascii="Times New Roman"/>
          <w:color w:val="auto"/>
          <w:sz w:val="21"/>
          <w:szCs w:val="21"/>
          <w:lang w:eastAsia="zh-CN"/>
        </w:rPr>
      </w:pPr>
      <w:r>
        <w:rPr>
          <w:rFonts w:ascii="Times New Roman"/>
          <w:color w:val="auto"/>
          <w:sz w:val="21"/>
          <w:szCs w:val="21"/>
          <w:lang w:eastAsia="zh-CN"/>
        </w:rPr>
        <w:t>3.4 其他：</w:t>
      </w:r>
    </w:p>
    <w:p w14:paraId="370EC9C3">
      <w:pPr>
        <w:pStyle w:val="10"/>
        <w:spacing w:line="360" w:lineRule="auto"/>
        <w:ind w:firstLine="420" w:firstLineChars="200"/>
        <w:rPr>
          <w:rFonts w:ascii="Times New Roman"/>
          <w:color w:val="auto"/>
          <w:sz w:val="21"/>
          <w:szCs w:val="21"/>
          <w:lang w:eastAsia="zh-CN"/>
        </w:rPr>
      </w:pPr>
      <w:r>
        <w:rPr>
          <w:rFonts w:ascii="Times New Roman"/>
          <w:color w:val="auto"/>
          <w:sz w:val="21"/>
          <w:szCs w:val="21"/>
          <w:lang w:eastAsia="zh-CN"/>
        </w:rPr>
        <w:t>（1）投标人及其法定代表人、拟派项目经理不得具有被相关行政主管部门处罚且限制在宁波行政区域内投标的违法行为记录，并在处罚有效期内的情形；</w:t>
      </w:r>
    </w:p>
    <w:p w14:paraId="49D104E8">
      <w:pPr>
        <w:pStyle w:val="10"/>
        <w:spacing w:line="360" w:lineRule="auto"/>
        <w:ind w:firstLine="420" w:firstLineChars="200"/>
        <w:rPr>
          <w:rFonts w:ascii="Times New Roman"/>
          <w:color w:val="auto"/>
          <w:sz w:val="21"/>
          <w:szCs w:val="21"/>
          <w:lang w:eastAsia="zh-CN"/>
        </w:rPr>
      </w:pPr>
      <w:r>
        <w:rPr>
          <w:rFonts w:ascii="Times New Roman"/>
          <w:color w:val="auto"/>
          <w:sz w:val="21"/>
          <w:szCs w:val="21"/>
          <w:lang w:eastAsia="zh-CN"/>
        </w:rPr>
        <w:t>（</w:t>
      </w:r>
      <w:r>
        <w:rPr>
          <w:rFonts w:hint="eastAsia" w:ascii="Times New Roman"/>
          <w:color w:val="auto"/>
          <w:sz w:val="21"/>
          <w:szCs w:val="21"/>
          <w:lang w:eastAsia="zh-CN"/>
        </w:rPr>
        <w:t>2</w:t>
      </w:r>
      <w:r>
        <w:rPr>
          <w:rFonts w:ascii="Times New Roman"/>
          <w:color w:val="auto"/>
          <w:sz w:val="21"/>
          <w:szCs w:val="21"/>
          <w:lang w:eastAsia="zh-CN"/>
        </w:rPr>
        <w:t>）投标人及其法定代表人、拟派项目经理不得为失信被执行人。开标结束后，招标代理人将对中标候选人及其法定代表人、拟派项目经理失信信息进行查询（具体以“信用中国”网站www.creditchina.gov.cn查询为准），若有“失信被执行人信息”的，则取消中标候选人资格，重新组织招标。</w:t>
      </w:r>
    </w:p>
    <w:p w14:paraId="0A7B4564">
      <w:pPr>
        <w:pStyle w:val="10"/>
        <w:spacing w:line="360" w:lineRule="auto"/>
        <w:ind w:firstLine="0" w:firstLineChars="0"/>
        <w:rPr>
          <w:rFonts w:hint="eastAsia" w:ascii="Times New Roman"/>
          <w:color w:val="auto"/>
          <w:sz w:val="21"/>
          <w:szCs w:val="21"/>
          <w:lang w:eastAsia="zh-CN"/>
        </w:rPr>
      </w:pPr>
      <w:r>
        <w:rPr>
          <w:rFonts w:hint="eastAsia" w:ascii="Times New Roman"/>
          <w:color w:val="auto"/>
          <w:sz w:val="21"/>
          <w:szCs w:val="21"/>
          <w:lang w:eastAsia="zh-CN"/>
        </w:rPr>
        <w:t xml:space="preserve"> </w:t>
      </w:r>
      <w:r>
        <w:rPr>
          <w:rFonts w:ascii="Times New Roman"/>
          <w:color w:val="auto"/>
          <w:sz w:val="21"/>
          <w:szCs w:val="21"/>
          <w:lang w:eastAsia="zh-CN"/>
        </w:rPr>
        <w:t xml:space="preserve">        </w:t>
      </w:r>
      <w:r>
        <w:rPr>
          <w:rFonts w:hint="eastAsia" w:ascii="Times New Roman"/>
          <w:color w:val="auto"/>
          <w:sz w:val="21"/>
          <w:szCs w:val="21"/>
          <w:lang w:eastAsia="zh-CN"/>
        </w:rPr>
        <w:t>（3）投标人不存在正在进行的多项或大额诉讼，影响中标后合同的履行。</w:t>
      </w:r>
    </w:p>
    <w:p w14:paraId="0979E03E">
      <w:pPr>
        <w:spacing w:line="360" w:lineRule="auto"/>
        <w:rPr>
          <w:b/>
          <w:color w:val="auto"/>
          <w:sz w:val="21"/>
          <w:szCs w:val="21"/>
          <w:lang w:eastAsia="zh-CN"/>
        </w:rPr>
      </w:pPr>
      <w:r>
        <w:rPr>
          <w:b/>
          <w:color w:val="auto"/>
          <w:sz w:val="21"/>
          <w:szCs w:val="21"/>
          <w:lang w:eastAsia="zh-CN"/>
        </w:rPr>
        <w:t>4. 招标文件的获取</w:t>
      </w:r>
    </w:p>
    <w:p w14:paraId="4308B49E">
      <w:pPr>
        <w:spacing w:line="360" w:lineRule="auto"/>
        <w:ind w:firstLine="420" w:firstLineChars="200"/>
        <w:rPr>
          <w:color w:val="auto"/>
          <w:sz w:val="21"/>
          <w:szCs w:val="21"/>
          <w:lang w:eastAsia="zh-CN"/>
        </w:rPr>
      </w:pPr>
      <w:r>
        <w:rPr>
          <w:rFonts w:hint="eastAsia"/>
          <w:color w:val="auto"/>
          <w:sz w:val="21"/>
          <w:szCs w:val="21"/>
          <w:lang w:eastAsia="zh-CN"/>
        </w:rPr>
        <w:t>4.1</w:t>
      </w:r>
      <w:r>
        <w:rPr>
          <w:color w:val="auto"/>
          <w:sz w:val="21"/>
          <w:szCs w:val="21"/>
          <w:lang w:eastAsia="zh-CN"/>
        </w:rPr>
        <w:t>发售时间：</w:t>
      </w:r>
      <w:r>
        <w:rPr>
          <w:color w:val="auto"/>
          <w:sz w:val="22"/>
          <w:szCs w:val="22"/>
          <w:u w:val="single"/>
        </w:rPr>
        <w:t>202</w:t>
      </w:r>
      <w:r>
        <w:rPr>
          <w:rFonts w:hint="eastAsia"/>
          <w:color w:val="auto"/>
          <w:sz w:val="22"/>
          <w:szCs w:val="22"/>
          <w:u w:val="single"/>
          <w:lang w:eastAsia="zh-CN"/>
        </w:rPr>
        <w:t>4</w:t>
      </w:r>
      <w:r>
        <w:rPr>
          <w:color w:val="auto"/>
          <w:sz w:val="22"/>
          <w:szCs w:val="22"/>
          <w:u w:val="single"/>
        </w:rPr>
        <w:t>年</w:t>
      </w:r>
      <w:r>
        <w:rPr>
          <w:rFonts w:hint="eastAsia"/>
          <w:color w:val="auto"/>
          <w:sz w:val="22"/>
          <w:szCs w:val="22"/>
          <w:u w:val="single"/>
          <w:lang w:val="en-US" w:eastAsia="zh-CN"/>
        </w:rPr>
        <w:t>8</w:t>
      </w:r>
      <w:r>
        <w:rPr>
          <w:color w:val="auto"/>
          <w:sz w:val="22"/>
          <w:szCs w:val="22"/>
          <w:u w:val="single"/>
        </w:rPr>
        <w:t>月</w:t>
      </w:r>
      <w:r>
        <w:rPr>
          <w:rFonts w:hint="eastAsia"/>
          <w:color w:val="auto"/>
          <w:sz w:val="22"/>
          <w:szCs w:val="22"/>
          <w:u w:val="single"/>
          <w:lang w:val="en-US" w:eastAsia="zh-CN"/>
        </w:rPr>
        <w:t>5</w:t>
      </w:r>
      <w:r>
        <w:rPr>
          <w:color w:val="auto"/>
          <w:sz w:val="22"/>
          <w:szCs w:val="22"/>
          <w:u w:val="single"/>
        </w:rPr>
        <w:t>日</w:t>
      </w:r>
      <w:r>
        <w:rPr>
          <w:color w:val="auto"/>
          <w:sz w:val="22"/>
          <w:szCs w:val="22"/>
        </w:rPr>
        <w:t>至</w:t>
      </w:r>
      <w:r>
        <w:rPr>
          <w:color w:val="auto"/>
          <w:sz w:val="22"/>
          <w:szCs w:val="22"/>
          <w:u w:val="single"/>
        </w:rPr>
        <w:t>202</w:t>
      </w:r>
      <w:r>
        <w:rPr>
          <w:rFonts w:hint="eastAsia"/>
          <w:color w:val="auto"/>
          <w:sz w:val="22"/>
          <w:szCs w:val="22"/>
          <w:u w:val="single"/>
          <w:lang w:eastAsia="zh-CN"/>
        </w:rPr>
        <w:t>4</w:t>
      </w:r>
      <w:r>
        <w:rPr>
          <w:color w:val="auto"/>
          <w:sz w:val="22"/>
          <w:szCs w:val="22"/>
          <w:u w:val="single"/>
        </w:rPr>
        <w:t>年</w:t>
      </w:r>
      <w:r>
        <w:rPr>
          <w:rFonts w:hint="eastAsia"/>
          <w:color w:val="auto"/>
          <w:sz w:val="22"/>
          <w:szCs w:val="22"/>
          <w:u w:val="single"/>
          <w:lang w:val="en-US" w:eastAsia="zh-CN"/>
        </w:rPr>
        <w:t>8</w:t>
      </w:r>
      <w:r>
        <w:rPr>
          <w:color w:val="auto"/>
          <w:sz w:val="22"/>
          <w:szCs w:val="22"/>
          <w:u w:val="single"/>
        </w:rPr>
        <w:t>月</w:t>
      </w:r>
      <w:r>
        <w:rPr>
          <w:rFonts w:hint="eastAsia"/>
          <w:color w:val="auto"/>
          <w:sz w:val="22"/>
          <w:szCs w:val="22"/>
          <w:u w:val="single"/>
          <w:lang w:val="en-US" w:eastAsia="zh-CN"/>
        </w:rPr>
        <w:t>9</w:t>
      </w:r>
      <w:r>
        <w:rPr>
          <w:color w:val="auto"/>
          <w:sz w:val="22"/>
          <w:szCs w:val="22"/>
          <w:u w:val="single"/>
        </w:rPr>
        <w:t>日</w:t>
      </w:r>
      <w:r>
        <w:rPr>
          <w:rFonts w:hint="eastAsia"/>
          <w:color w:val="auto"/>
          <w:sz w:val="22"/>
          <w:szCs w:val="22"/>
          <w:u w:val="single"/>
          <w:lang w:val="en-US" w:eastAsia="zh-CN"/>
        </w:rPr>
        <w:t>17</w:t>
      </w:r>
      <w:r>
        <w:rPr>
          <w:color w:val="auto"/>
          <w:sz w:val="22"/>
          <w:szCs w:val="22"/>
          <w:u w:val="single"/>
        </w:rPr>
        <w:t>时</w:t>
      </w:r>
      <w:r>
        <w:rPr>
          <w:rFonts w:hint="eastAsia"/>
          <w:color w:val="auto"/>
          <w:sz w:val="22"/>
          <w:szCs w:val="22"/>
          <w:u w:val="single"/>
          <w:lang w:val="en-US" w:eastAsia="zh-CN"/>
        </w:rPr>
        <w:t>00</w:t>
      </w:r>
      <w:r>
        <w:rPr>
          <w:color w:val="auto"/>
          <w:sz w:val="22"/>
          <w:szCs w:val="22"/>
          <w:u w:val="single"/>
        </w:rPr>
        <w:t>分</w:t>
      </w:r>
      <w:r>
        <w:rPr>
          <w:color w:val="auto"/>
          <w:sz w:val="21"/>
          <w:szCs w:val="21"/>
          <w:lang w:eastAsia="zh-CN"/>
        </w:rPr>
        <w:t>（08</w:t>
      </w:r>
      <w:r>
        <w:rPr>
          <w:rFonts w:hint="eastAsia"/>
          <w:color w:val="auto"/>
          <w:sz w:val="21"/>
          <w:szCs w:val="21"/>
          <w:lang w:eastAsia="zh-CN"/>
        </w:rPr>
        <w:t>：</w:t>
      </w:r>
      <w:r>
        <w:rPr>
          <w:color w:val="auto"/>
          <w:sz w:val="21"/>
          <w:szCs w:val="21"/>
          <w:lang w:eastAsia="zh-CN"/>
        </w:rPr>
        <w:t>30—11</w:t>
      </w:r>
      <w:r>
        <w:rPr>
          <w:rFonts w:hint="eastAsia"/>
          <w:color w:val="auto"/>
          <w:sz w:val="21"/>
          <w:szCs w:val="21"/>
          <w:lang w:eastAsia="zh-CN"/>
        </w:rPr>
        <w:t>：</w:t>
      </w:r>
      <w:r>
        <w:rPr>
          <w:color w:val="auto"/>
          <w:sz w:val="21"/>
          <w:szCs w:val="21"/>
          <w:lang w:eastAsia="zh-CN"/>
        </w:rPr>
        <w:t>30，13</w:t>
      </w:r>
      <w:r>
        <w:rPr>
          <w:rFonts w:hint="eastAsia"/>
          <w:color w:val="auto"/>
          <w:sz w:val="21"/>
          <w:szCs w:val="21"/>
          <w:lang w:eastAsia="zh-CN"/>
        </w:rPr>
        <w:t>：</w:t>
      </w:r>
      <w:r>
        <w:rPr>
          <w:color w:val="auto"/>
          <w:sz w:val="21"/>
          <w:szCs w:val="21"/>
          <w:lang w:eastAsia="zh-CN"/>
        </w:rPr>
        <w:t>30—17</w:t>
      </w:r>
      <w:r>
        <w:rPr>
          <w:rFonts w:hint="eastAsia"/>
          <w:color w:val="auto"/>
          <w:sz w:val="21"/>
          <w:szCs w:val="21"/>
          <w:lang w:eastAsia="zh-CN"/>
        </w:rPr>
        <w:t>：</w:t>
      </w:r>
      <w:r>
        <w:rPr>
          <w:color w:val="auto"/>
          <w:sz w:val="21"/>
          <w:szCs w:val="21"/>
          <w:lang w:eastAsia="zh-CN"/>
        </w:rPr>
        <w:t>00）（北京时间、节假日除外）。</w:t>
      </w:r>
    </w:p>
    <w:p w14:paraId="7CBA62A1">
      <w:pPr>
        <w:spacing w:line="360" w:lineRule="auto"/>
        <w:ind w:firstLine="420" w:firstLineChars="200"/>
        <w:rPr>
          <w:color w:val="auto"/>
          <w:sz w:val="21"/>
          <w:szCs w:val="21"/>
          <w:highlight w:val="none"/>
          <w:lang w:eastAsia="zh-CN"/>
        </w:rPr>
      </w:pPr>
      <w:r>
        <w:rPr>
          <w:rFonts w:hint="eastAsia"/>
          <w:color w:val="auto"/>
          <w:sz w:val="21"/>
          <w:szCs w:val="21"/>
          <w:lang w:eastAsia="zh-CN"/>
        </w:rPr>
        <w:t>4.2</w:t>
      </w:r>
      <w:r>
        <w:rPr>
          <w:color w:val="auto"/>
          <w:sz w:val="21"/>
          <w:szCs w:val="21"/>
          <w:highlight w:val="none"/>
          <w:lang w:eastAsia="zh-CN"/>
        </w:rPr>
        <w:t>发售方式：采用现场领取或邮寄等其他方式。</w:t>
      </w:r>
    </w:p>
    <w:p w14:paraId="482777D7">
      <w:pPr>
        <w:spacing w:line="360" w:lineRule="auto"/>
        <w:ind w:firstLine="420" w:firstLineChars="200"/>
        <w:rPr>
          <w:color w:val="auto"/>
          <w:sz w:val="21"/>
          <w:szCs w:val="21"/>
          <w:lang w:eastAsia="zh-CN"/>
        </w:rPr>
      </w:pPr>
      <w:r>
        <w:rPr>
          <w:color w:val="auto"/>
          <w:sz w:val="21"/>
          <w:szCs w:val="21"/>
          <w:lang w:eastAsia="zh-CN"/>
        </w:rPr>
        <w:t>采用现场领取的，潜在投标人将如下报名材料在发售时间截止前递交至</w:t>
      </w:r>
      <w:r>
        <w:rPr>
          <w:rFonts w:hint="eastAsia"/>
          <w:color w:val="auto"/>
          <w:sz w:val="21"/>
          <w:szCs w:val="21"/>
          <w:lang w:eastAsia="zh-CN"/>
        </w:rPr>
        <w:t>宁波市北仑区大榭街道滨海东路12号码头东楼宁波振诚矿业有限公司二楼运管部</w:t>
      </w:r>
      <w:r>
        <w:rPr>
          <w:color w:val="auto"/>
          <w:sz w:val="21"/>
          <w:szCs w:val="21"/>
          <w:lang w:eastAsia="zh-CN"/>
        </w:rPr>
        <w:t>，经人员审核通过后购买招标文件：</w:t>
      </w:r>
    </w:p>
    <w:p w14:paraId="4469AF07">
      <w:pPr>
        <w:spacing w:line="360" w:lineRule="auto"/>
        <w:ind w:firstLine="420" w:firstLineChars="200"/>
        <w:rPr>
          <w:color w:val="auto"/>
          <w:sz w:val="21"/>
          <w:szCs w:val="21"/>
          <w:lang w:eastAsia="zh-CN"/>
        </w:rPr>
      </w:pPr>
      <w:r>
        <w:rPr>
          <w:rFonts w:hint="eastAsia"/>
          <w:color w:val="auto"/>
          <w:sz w:val="21"/>
          <w:szCs w:val="21"/>
          <w:lang w:eastAsia="zh-CN"/>
        </w:rPr>
        <w:t>（1）</w:t>
      </w:r>
      <w:r>
        <w:rPr>
          <w:color w:val="auto"/>
          <w:sz w:val="21"/>
          <w:szCs w:val="21"/>
          <w:lang w:eastAsia="zh-CN"/>
        </w:rPr>
        <w:t>营业执照或事业单位法人证书复印件加盖公章；</w:t>
      </w:r>
    </w:p>
    <w:p w14:paraId="49D1AA8B">
      <w:pPr>
        <w:spacing w:line="360" w:lineRule="auto"/>
        <w:ind w:firstLine="420" w:firstLineChars="200"/>
        <w:rPr>
          <w:color w:val="auto"/>
          <w:sz w:val="21"/>
          <w:szCs w:val="21"/>
          <w:lang w:eastAsia="zh-CN"/>
        </w:rPr>
      </w:pPr>
      <w:r>
        <w:rPr>
          <w:rFonts w:hint="eastAsia"/>
          <w:color w:val="auto"/>
          <w:sz w:val="21"/>
          <w:szCs w:val="21"/>
          <w:lang w:eastAsia="zh-CN"/>
        </w:rPr>
        <w:t>（2）</w:t>
      </w:r>
      <w:r>
        <w:rPr>
          <w:color w:val="auto"/>
          <w:sz w:val="21"/>
          <w:szCs w:val="21"/>
          <w:lang w:eastAsia="zh-CN"/>
        </w:rPr>
        <w:t>法定代表人授权书（含法定代表人和被授权人身份证复印件）。</w:t>
      </w:r>
    </w:p>
    <w:p w14:paraId="349C9078">
      <w:pPr>
        <w:spacing w:line="360" w:lineRule="auto"/>
        <w:ind w:firstLine="420" w:firstLineChars="200"/>
        <w:rPr>
          <w:color w:val="auto"/>
          <w:sz w:val="21"/>
          <w:szCs w:val="21"/>
          <w:lang w:eastAsia="zh-CN"/>
        </w:rPr>
      </w:pPr>
      <w:r>
        <w:rPr>
          <w:color w:val="auto"/>
          <w:sz w:val="21"/>
          <w:szCs w:val="21"/>
          <w:lang w:eastAsia="zh-CN"/>
        </w:rPr>
        <w:t>采用邮寄方式的，请留足邮寄时间以确保报名资料在发售时间截止时间前将上述报名材料发送至邮箱：</w:t>
      </w:r>
      <w:r>
        <w:rPr>
          <w:color w:val="auto"/>
          <w:sz w:val="21"/>
          <w:szCs w:val="21"/>
          <w:lang w:eastAsia="zh-CN"/>
        </w:rPr>
        <w:fldChar w:fldCharType="begin"/>
      </w:r>
      <w:r>
        <w:rPr>
          <w:color w:val="auto"/>
          <w:sz w:val="21"/>
          <w:szCs w:val="21"/>
          <w:lang w:eastAsia="zh-CN"/>
        </w:rPr>
        <w:instrText xml:space="preserve"> HYPERLINK "mailto:wanghanglei@itg.com.cn，并将报名资料原件寄到指定地点。逾期递交的，招标人将拒绝接收。" </w:instrText>
      </w:r>
      <w:r>
        <w:rPr>
          <w:color w:val="auto"/>
          <w:sz w:val="21"/>
          <w:szCs w:val="21"/>
          <w:lang w:eastAsia="zh-CN"/>
        </w:rPr>
        <w:fldChar w:fldCharType="separate"/>
      </w:r>
      <w:r>
        <w:rPr>
          <w:rStyle w:val="9"/>
          <w:rFonts w:hint="eastAsia"/>
          <w:color w:val="auto"/>
          <w:sz w:val="21"/>
          <w:szCs w:val="21"/>
          <w:lang w:eastAsia="zh-CN"/>
        </w:rPr>
        <w:t>zckyxszb@itg.com.cn</w:t>
      </w:r>
      <w:r>
        <w:rPr>
          <w:rStyle w:val="9"/>
          <w:color w:val="auto"/>
          <w:sz w:val="21"/>
          <w:szCs w:val="21"/>
          <w:lang w:eastAsia="zh-CN"/>
        </w:rPr>
        <w:t>，并将报名资料原件寄到指定地点。逾期递交的，招标人将拒绝接收。</w:t>
      </w:r>
      <w:r>
        <w:rPr>
          <w:color w:val="auto"/>
          <w:sz w:val="21"/>
          <w:szCs w:val="21"/>
          <w:lang w:eastAsia="zh-CN"/>
        </w:rPr>
        <w:fldChar w:fldCharType="end"/>
      </w:r>
    </w:p>
    <w:p w14:paraId="0FBBCBCC">
      <w:pPr>
        <w:spacing w:line="360" w:lineRule="auto"/>
        <w:ind w:firstLine="420" w:firstLineChars="200"/>
        <w:rPr>
          <w:bCs/>
          <w:color w:val="auto"/>
          <w:sz w:val="21"/>
          <w:szCs w:val="21"/>
          <w:lang w:eastAsia="zh-CN"/>
        </w:rPr>
      </w:pPr>
      <w:r>
        <w:rPr>
          <w:rFonts w:hint="eastAsia"/>
          <w:color w:val="auto"/>
          <w:sz w:val="21"/>
          <w:szCs w:val="21"/>
          <w:lang w:eastAsia="zh-CN"/>
        </w:rPr>
        <w:t>4.2</w:t>
      </w:r>
      <w:r>
        <w:rPr>
          <w:color w:val="auto"/>
          <w:sz w:val="21"/>
          <w:szCs w:val="21"/>
          <w:lang w:eastAsia="zh-CN"/>
        </w:rPr>
        <w:t>招标文件售价：</w:t>
      </w:r>
      <w:r>
        <w:rPr>
          <w:rFonts w:hint="eastAsia"/>
          <w:color w:val="auto"/>
          <w:sz w:val="21"/>
          <w:szCs w:val="21"/>
          <w:lang w:eastAsia="zh-CN"/>
        </w:rPr>
        <w:t>免费发放</w:t>
      </w:r>
    </w:p>
    <w:p w14:paraId="490FEB41">
      <w:pPr>
        <w:spacing w:line="360" w:lineRule="auto"/>
        <w:rPr>
          <w:b/>
          <w:color w:val="auto"/>
          <w:sz w:val="21"/>
          <w:szCs w:val="21"/>
          <w:lang w:eastAsia="zh-CN"/>
        </w:rPr>
      </w:pPr>
      <w:r>
        <w:rPr>
          <w:b/>
          <w:color w:val="auto"/>
          <w:sz w:val="21"/>
          <w:szCs w:val="21"/>
          <w:lang w:eastAsia="zh-CN"/>
        </w:rPr>
        <w:t>5. 投标文件的递交</w:t>
      </w:r>
    </w:p>
    <w:p w14:paraId="56483B81">
      <w:pPr>
        <w:spacing w:line="360" w:lineRule="auto"/>
        <w:ind w:firstLine="420" w:firstLineChars="200"/>
        <w:rPr>
          <w:color w:val="auto"/>
          <w:sz w:val="21"/>
          <w:szCs w:val="21"/>
          <w:lang w:eastAsia="zh-CN"/>
        </w:rPr>
      </w:pPr>
      <w:r>
        <w:rPr>
          <w:rFonts w:hint="eastAsia"/>
          <w:color w:val="auto"/>
          <w:sz w:val="21"/>
          <w:szCs w:val="21"/>
          <w:lang w:eastAsia="zh-CN"/>
        </w:rPr>
        <w:t>5.1</w:t>
      </w:r>
      <w:r>
        <w:rPr>
          <w:color w:val="auto"/>
          <w:sz w:val="21"/>
          <w:szCs w:val="21"/>
          <w:lang w:eastAsia="zh-CN"/>
        </w:rPr>
        <w:t>投标文件递交截止时间及地点：</w:t>
      </w:r>
    </w:p>
    <w:p w14:paraId="09CD0009">
      <w:pPr>
        <w:spacing w:line="360" w:lineRule="auto"/>
        <w:ind w:firstLine="420" w:firstLineChars="200"/>
        <w:rPr>
          <w:color w:val="auto"/>
          <w:sz w:val="21"/>
          <w:szCs w:val="21"/>
          <w:lang w:eastAsia="zh-CN"/>
        </w:rPr>
      </w:pPr>
      <w:r>
        <w:rPr>
          <w:rFonts w:hint="eastAsia"/>
          <w:color w:val="auto"/>
          <w:sz w:val="21"/>
          <w:szCs w:val="21"/>
          <w:lang w:eastAsia="zh-CN"/>
        </w:rPr>
        <w:t>（1）</w:t>
      </w:r>
      <w:r>
        <w:rPr>
          <w:color w:val="auto"/>
          <w:sz w:val="21"/>
          <w:szCs w:val="21"/>
          <w:lang w:eastAsia="zh-CN"/>
        </w:rPr>
        <w:t>投标文件递交截止时间：</w:t>
      </w:r>
      <w:r>
        <w:rPr>
          <w:color w:val="auto"/>
          <w:sz w:val="22"/>
          <w:szCs w:val="22"/>
        </w:rPr>
        <w:t>202</w:t>
      </w:r>
      <w:r>
        <w:rPr>
          <w:rFonts w:hint="eastAsia"/>
          <w:color w:val="auto"/>
          <w:sz w:val="22"/>
          <w:szCs w:val="22"/>
          <w:lang w:eastAsia="zh-CN"/>
        </w:rPr>
        <w:t>4</w:t>
      </w:r>
      <w:r>
        <w:rPr>
          <w:color w:val="auto"/>
          <w:sz w:val="22"/>
          <w:szCs w:val="22"/>
        </w:rPr>
        <w:t>年</w:t>
      </w:r>
      <w:r>
        <w:rPr>
          <w:rFonts w:hint="eastAsia"/>
          <w:color w:val="auto"/>
          <w:sz w:val="22"/>
          <w:szCs w:val="22"/>
          <w:lang w:val="en-US" w:eastAsia="zh-CN"/>
        </w:rPr>
        <w:t>8</w:t>
      </w:r>
      <w:r>
        <w:rPr>
          <w:color w:val="auto"/>
          <w:sz w:val="22"/>
          <w:szCs w:val="22"/>
        </w:rPr>
        <w:t>月</w:t>
      </w:r>
      <w:r>
        <w:rPr>
          <w:rFonts w:hint="eastAsia"/>
          <w:color w:val="auto"/>
          <w:sz w:val="22"/>
          <w:szCs w:val="22"/>
          <w:lang w:val="en-US" w:eastAsia="zh-CN"/>
        </w:rPr>
        <w:t>19</w:t>
      </w:r>
      <w:r>
        <w:rPr>
          <w:color w:val="auto"/>
          <w:sz w:val="22"/>
          <w:szCs w:val="22"/>
        </w:rPr>
        <w:t>日</w:t>
      </w:r>
      <w:r>
        <w:rPr>
          <w:rFonts w:hint="eastAsia"/>
          <w:color w:val="auto"/>
          <w:sz w:val="22"/>
          <w:szCs w:val="22"/>
          <w:lang w:val="en-US" w:eastAsia="zh-CN"/>
        </w:rPr>
        <w:t>14</w:t>
      </w:r>
      <w:r>
        <w:rPr>
          <w:rFonts w:hint="eastAsia"/>
          <w:color w:val="auto"/>
          <w:sz w:val="22"/>
          <w:szCs w:val="22"/>
          <w:lang w:eastAsia="zh-CN"/>
        </w:rPr>
        <w:t xml:space="preserve"> </w:t>
      </w:r>
      <w:r>
        <w:rPr>
          <w:color w:val="auto"/>
          <w:sz w:val="22"/>
          <w:szCs w:val="22"/>
        </w:rPr>
        <w:t>时</w:t>
      </w:r>
      <w:r>
        <w:rPr>
          <w:rFonts w:hint="eastAsia"/>
          <w:color w:val="auto"/>
          <w:sz w:val="22"/>
          <w:szCs w:val="22"/>
          <w:lang w:val="en-US" w:eastAsia="zh-CN"/>
        </w:rPr>
        <w:t>00</w:t>
      </w:r>
      <w:r>
        <w:rPr>
          <w:rFonts w:hint="eastAsia"/>
          <w:color w:val="auto"/>
          <w:sz w:val="22"/>
          <w:szCs w:val="22"/>
          <w:lang w:eastAsia="zh-CN"/>
        </w:rPr>
        <w:t xml:space="preserve"> </w:t>
      </w:r>
      <w:r>
        <w:rPr>
          <w:color w:val="auto"/>
          <w:sz w:val="22"/>
          <w:szCs w:val="22"/>
        </w:rPr>
        <w:t>分</w:t>
      </w:r>
      <w:r>
        <w:rPr>
          <w:color w:val="auto"/>
          <w:sz w:val="21"/>
          <w:szCs w:val="21"/>
          <w:lang w:eastAsia="zh-CN"/>
        </w:rPr>
        <w:t>（北京时间）。</w:t>
      </w:r>
    </w:p>
    <w:p w14:paraId="71F8EAEA">
      <w:pPr>
        <w:spacing w:line="360" w:lineRule="auto"/>
        <w:ind w:firstLine="420" w:firstLineChars="200"/>
        <w:rPr>
          <w:color w:val="auto"/>
          <w:sz w:val="21"/>
          <w:szCs w:val="21"/>
          <w:lang w:eastAsia="zh-CN"/>
        </w:rPr>
      </w:pPr>
      <w:r>
        <w:rPr>
          <w:rFonts w:hint="eastAsia"/>
          <w:color w:val="auto"/>
          <w:sz w:val="21"/>
          <w:szCs w:val="21"/>
          <w:lang w:eastAsia="zh-CN"/>
        </w:rPr>
        <w:t>（2）</w:t>
      </w:r>
      <w:r>
        <w:rPr>
          <w:color w:val="auto"/>
          <w:sz w:val="21"/>
          <w:szCs w:val="21"/>
          <w:lang w:eastAsia="zh-CN"/>
        </w:rPr>
        <w:t>投标人可采用现场递交或邮寄递交的方式递交投标文件。</w:t>
      </w:r>
    </w:p>
    <w:p w14:paraId="305E567E">
      <w:pPr>
        <w:spacing w:line="360" w:lineRule="auto"/>
        <w:ind w:firstLine="420" w:firstLineChars="200"/>
        <w:rPr>
          <w:color w:val="auto"/>
          <w:sz w:val="21"/>
          <w:szCs w:val="21"/>
          <w:lang w:eastAsia="zh-CN"/>
        </w:rPr>
      </w:pPr>
      <w:r>
        <w:rPr>
          <w:color w:val="auto"/>
          <w:sz w:val="21"/>
          <w:szCs w:val="21"/>
          <w:lang w:eastAsia="zh-CN"/>
        </w:rPr>
        <w:t>①采用现场递交方式递交投标文件的，投标人在递交截止时间前将投标文件递交至</w:t>
      </w:r>
      <w:r>
        <w:rPr>
          <w:rFonts w:hint="eastAsia"/>
          <w:color w:val="auto"/>
          <w:sz w:val="21"/>
          <w:szCs w:val="21"/>
          <w:lang w:eastAsia="zh-CN"/>
        </w:rPr>
        <w:t xml:space="preserve">宁波市北仑区大榭街道滨海东路12号码头东楼宁波振诚矿业有限公司二楼运管部 </w:t>
      </w:r>
      <w:r>
        <w:rPr>
          <w:color w:val="auto"/>
          <w:sz w:val="21"/>
          <w:szCs w:val="21"/>
          <w:lang w:eastAsia="zh-CN"/>
        </w:rPr>
        <w:t>。</w:t>
      </w:r>
    </w:p>
    <w:p w14:paraId="52399EC2">
      <w:pPr>
        <w:spacing w:line="360" w:lineRule="auto"/>
        <w:ind w:firstLine="420" w:firstLineChars="200"/>
        <w:rPr>
          <w:color w:val="auto"/>
          <w:sz w:val="21"/>
          <w:szCs w:val="21"/>
          <w:lang w:eastAsia="zh-CN"/>
        </w:rPr>
      </w:pPr>
      <w:r>
        <w:rPr>
          <w:color w:val="auto"/>
          <w:sz w:val="21"/>
          <w:szCs w:val="21"/>
          <w:lang w:eastAsia="zh-CN"/>
        </w:rPr>
        <w:t>②采用邮寄方式送达的，递交时间以邮寄签收时间为准且必须在递交截止时间前寄到</w:t>
      </w:r>
      <w:r>
        <w:rPr>
          <w:rFonts w:hint="eastAsia"/>
          <w:color w:val="auto"/>
          <w:sz w:val="21"/>
          <w:szCs w:val="21"/>
          <w:lang w:eastAsia="zh-CN"/>
        </w:rPr>
        <w:t>宁波市北仑区大榭街道滨海东路12号码头东楼宁波振诚矿业有限公司二楼运管部</w:t>
      </w:r>
      <w:r>
        <w:rPr>
          <w:color w:val="auto"/>
          <w:sz w:val="21"/>
          <w:szCs w:val="21"/>
          <w:lang w:eastAsia="zh-CN"/>
        </w:rPr>
        <w:t>，收件人：</w:t>
      </w:r>
      <w:r>
        <w:rPr>
          <w:rFonts w:hint="eastAsia"/>
          <w:color w:val="auto"/>
          <w:sz w:val="21"/>
          <w:szCs w:val="21"/>
          <w:lang w:eastAsia="zh-CN"/>
        </w:rPr>
        <w:t>王航蕾</w:t>
      </w:r>
      <w:r>
        <w:rPr>
          <w:color w:val="auto"/>
          <w:sz w:val="21"/>
          <w:szCs w:val="21"/>
          <w:lang w:eastAsia="zh-CN"/>
        </w:rPr>
        <w:t>，联系方式：</w:t>
      </w:r>
      <w:r>
        <w:rPr>
          <w:rFonts w:hint="eastAsia"/>
          <w:color w:val="auto"/>
          <w:sz w:val="21"/>
          <w:szCs w:val="21"/>
          <w:lang w:eastAsia="zh-CN"/>
        </w:rPr>
        <w:t>0574-56265756</w:t>
      </w:r>
      <w:r>
        <w:rPr>
          <w:color w:val="auto"/>
          <w:sz w:val="21"/>
          <w:szCs w:val="21"/>
          <w:lang w:eastAsia="zh-CN"/>
        </w:rPr>
        <w:t>。投标人应当确保投标文件的密封包装在邮寄过程保持完好，因邮寄造成投标文件密封破损而不符合开标要求的或因邮寄延误（丢件）的，责任由投标人自行负担，招标人概不负责。建议投标文件包装后邮寄时再进行外包装。</w:t>
      </w:r>
    </w:p>
    <w:p w14:paraId="7D499E17">
      <w:pPr>
        <w:spacing w:line="360" w:lineRule="auto"/>
        <w:ind w:firstLine="420" w:firstLineChars="200"/>
        <w:rPr>
          <w:color w:val="auto"/>
          <w:sz w:val="21"/>
          <w:szCs w:val="21"/>
          <w:lang w:eastAsia="zh-CN"/>
        </w:rPr>
      </w:pPr>
      <w:r>
        <w:rPr>
          <w:color w:val="auto"/>
          <w:sz w:val="21"/>
          <w:szCs w:val="21"/>
          <w:lang w:eastAsia="zh-CN"/>
        </w:rPr>
        <w:t>投标人应充分考虑邮寄所需的时间，在邮寄发出后及时告知收件人并保持联系，至少在递交截止时间前1小时，与收件人确认邮件送达情况，确保投标文件能按时送达。若超出递交截止时间送达的投标文件将被拒绝接收，因投标文件未及时送达引起的相关责任由投标人自行承担。</w:t>
      </w:r>
    </w:p>
    <w:p w14:paraId="67696078">
      <w:pPr>
        <w:spacing w:line="360" w:lineRule="auto"/>
        <w:ind w:firstLine="420" w:firstLineChars="200"/>
        <w:rPr>
          <w:color w:val="auto"/>
          <w:sz w:val="21"/>
          <w:szCs w:val="21"/>
        </w:rPr>
      </w:pPr>
      <w:r>
        <w:rPr>
          <w:rFonts w:hint="eastAsia"/>
          <w:color w:val="auto"/>
          <w:sz w:val="21"/>
          <w:szCs w:val="21"/>
          <w:lang w:eastAsia="zh-CN"/>
        </w:rPr>
        <w:t>5.2</w:t>
      </w:r>
      <w:r>
        <w:rPr>
          <w:color w:val="auto"/>
          <w:sz w:val="21"/>
          <w:szCs w:val="21"/>
          <w:lang w:eastAsia="zh-CN"/>
        </w:rPr>
        <w:t>招标人在规定的投标截止时间（开标时间）和投标人须知前附表规定的地点</w:t>
      </w:r>
      <w:r>
        <w:rPr>
          <w:rFonts w:hint="eastAsia"/>
          <w:color w:val="auto"/>
          <w:sz w:val="21"/>
          <w:szCs w:val="21"/>
          <w:lang w:eastAsia="zh-CN"/>
        </w:rPr>
        <w:t>现场</w:t>
      </w:r>
      <w:r>
        <w:rPr>
          <w:color w:val="auto"/>
          <w:sz w:val="21"/>
          <w:szCs w:val="21"/>
          <w:lang w:eastAsia="zh-CN"/>
        </w:rPr>
        <w:t>开标，开标结果会在厦门国贸集团股份有限公司网站（www.itg.com.cn）上及时公布。</w:t>
      </w:r>
    </w:p>
    <w:p w14:paraId="6CCD7674">
      <w:pPr>
        <w:spacing w:line="360" w:lineRule="auto"/>
        <w:rPr>
          <w:b/>
          <w:color w:val="auto"/>
          <w:sz w:val="21"/>
          <w:szCs w:val="21"/>
          <w:lang w:eastAsia="zh-CN"/>
        </w:rPr>
      </w:pPr>
      <w:r>
        <w:rPr>
          <w:b/>
          <w:color w:val="auto"/>
          <w:sz w:val="21"/>
          <w:szCs w:val="21"/>
          <w:lang w:eastAsia="zh-CN"/>
        </w:rPr>
        <w:t>6. 投标保证金</w:t>
      </w:r>
    </w:p>
    <w:p w14:paraId="46332674">
      <w:pPr>
        <w:spacing w:line="360" w:lineRule="auto"/>
        <w:ind w:firstLine="420" w:firstLineChars="200"/>
        <w:rPr>
          <w:color w:val="auto"/>
          <w:sz w:val="21"/>
          <w:szCs w:val="21"/>
          <w:lang w:eastAsia="zh-CN"/>
        </w:rPr>
      </w:pPr>
      <w:r>
        <w:rPr>
          <w:color w:val="auto"/>
          <w:sz w:val="21"/>
          <w:szCs w:val="21"/>
          <w:lang w:eastAsia="zh-CN"/>
        </w:rPr>
        <w:t>投标保证金的金额：</w:t>
      </w:r>
      <w:r>
        <w:rPr>
          <w:rFonts w:hint="eastAsia"/>
          <w:color w:val="auto"/>
          <w:sz w:val="21"/>
          <w:szCs w:val="21"/>
          <w:lang w:eastAsia="zh-CN"/>
        </w:rPr>
        <w:t>人民币伍万元整</w:t>
      </w:r>
      <w:r>
        <w:rPr>
          <w:color w:val="auto"/>
          <w:sz w:val="21"/>
          <w:szCs w:val="21"/>
          <w:lang w:eastAsia="zh-CN"/>
        </w:rPr>
        <w:t xml:space="preserve"> </w:t>
      </w:r>
    </w:p>
    <w:p w14:paraId="1E764182">
      <w:pPr>
        <w:spacing w:line="360" w:lineRule="auto"/>
        <w:ind w:firstLine="420" w:firstLineChars="200"/>
        <w:rPr>
          <w:color w:val="auto"/>
          <w:sz w:val="21"/>
          <w:szCs w:val="21"/>
          <w:lang w:eastAsia="zh-CN"/>
        </w:rPr>
      </w:pPr>
      <w:r>
        <w:rPr>
          <w:color w:val="auto"/>
          <w:sz w:val="21"/>
          <w:szCs w:val="21"/>
          <w:lang w:eastAsia="zh-CN"/>
        </w:rPr>
        <w:t xml:space="preserve">形式：银行电汇或者网银（公对公转账形式）直接缴入提供的账户 </w:t>
      </w:r>
    </w:p>
    <w:p w14:paraId="7F9C5D9B">
      <w:pPr>
        <w:spacing w:line="360" w:lineRule="auto"/>
        <w:ind w:firstLine="420" w:firstLineChars="200"/>
        <w:rPr>
          <w:color w:val="auto"/>
          <w:sz w:val="21"/>
          <w:szCs w:val="21"/>
          <w:lang w:eastAsia="zh-CN"/>
        </w:rPr>
      </w:pPr>
      <w:r>
        <w:rPr>
          <w:color w:val="auto"/>
          <w:sz w:val="21"/>
          <w:szCs w:val="21"/>
          <w:lang w:eastAsia="zh-CN"/>
        </w:rPr>
        <w:t>提交截止时间：</w:t>
      </w:r>
      <w:r>
        <w:rPr>
          <w:color w:val="auto"/>
          <w:sz w:val="22"/>
          <w:szCs w:val="22"/>
          <w:u w:val="single"/>
        </w:rPr>
        <w:t>202</w:t>
      </w:r>
      <w:r>
        <w:rPr>
          <w:rFonts w:hint="eastAsia"/>
          <w:color w:val="auto"/>
          <w:sz w:val="22"/>
          <w:szCs w:val="22"/>
          <w:u w:val="single"/>
          <w:lang w:eastAsia="zh-CN"/>
        </w:rPr>
        <w:t>4</w:t>
      </w:r>
      <w:r>
        <w:rPr>
          <w:color w:val="auto"/>
          <w:sz w:val="22"/>
          <w:szCs w:val="22"/>
          <w:u w:val="single"/>
        </w:rPr>
        <w:t>年</w:t>
      </w:r>
      <w:r>
        <w:rPr>
          <w:rFonts w:hint="eastAsia"/>
          <w:color w:val="auto"/>
          <w:sz w:val="22"/>
          <w:szCs w:val="22"/>
          <w:u w:val="single"/>
          <w:lang w:val="en-US" w:eastAsia="zh-CN"/>
        </w:rPr>
        <w:t>8</w:t>
      </w:r>
      <w:r>
        <w:rPr>
          <w:color w:val="auto"/>
          <w:sz w:val="22"/>
          <w:szCs w:val="22"/>
          <w:u w:val="single"/>
        </w:rPr>
        <w:t>月</w:t>
      </w:r>
      <w:r>
        <w:rPr>
          <w:rFonts w:hint="eastAsia"/>
          <w:color w:val="auto"/>
          <w:sz w:val="22"/>
          <w:szCs w:val="22"/>
          <w:u w:val="single"/>
          <w:lang w:val="en-US" w:eastAsia="zh-CN"/>
        </w:rPr>
        <w:t>12</w:t>
      </w:r>
      <w:r>
        <w:rPr>
          <w:color w:val="auto"/>
          <w:sz w:val="22"/>
          <w:szCs w:val="22"/>
          <w:u w:val="single"/>
        </w:rPr>
        <w:t>日</w:t>
      </w:r>
      <w:r>
        <w:rPr>
          <w:rFonts w:hint="eastAsia"/>
          <w:color w:val="auto"/>
          <w:sz w:val="22"/>
          <w:szCs w:val="22"/>
          <w:u w:val="single"/>
          <w:lang w:val="en-US" w:eastAsia="zh-CN"/>
        </w:rPr>
        <w:t>17</w:t>
      </w:r>
      <w:r>
        <w:rPr>
          <w:color w:val="auto"/>
          <w:sz w:val="22"/>
          <w:szCs w:val="22"/>
          <w:u w:val="single"/>
        </w:rPr>
        <w:t>时</w:t>
      </w:r>
      <w:r>
        <w:rPr>
          <w:rFonts w:hint="eastAsia"/>
          <w:color w:val="auto"/>
          <w:sz w:val="22"/>
          <w:szCs w:val="22"/>
          <w:u w:val="single"/>
          <w:lang w:val="en-US" w:eastAsia="zh-CN"/>
        </w:rPr>
        <w:t>00</w:t>
      </w:r>
      <w:r>
        <w:rPr>
          <w:color w:val="auto"/>
          <w:sz w:val="22"/>
          <w:szCs w:val="22"/>
          <w:u w:val="single"/>
        </w:rPr>
        <w:t>分</w:t>
      </w:r>
      <w:r>
        <w:rPr>
          <w:color w:val="auto"/>
          <w:sz w:val="21"/>
          <w:szCs w:val="21"/>
          <w:lang w:eastAsia="zh-CN"/>
        </w:rPr>
        <w:t>前（北京时间，以资金到账时间为准）。</w:t>
      </w:r>
    </w:p>
    <w:p w14:paraId="335A2B4D">
      <w:pPr>
        <w:spacing w:line="360" w:lineRule="auto"/>
        <w:ind w:firstLine="420" w:firstLineChars="200"/>
        <w:rPr>
          <w:color w:val="auto"/>
          <w:sz w:val="21"/>
          <w:szCs w:val="21"/>
          <w:lang w:eastAsia="zh-CN"/>
        </w:rPr>
      </w:pPr>
      <w:r>
        <w:rPr>
          <w:color w:val="auto"/>
          <w:sz w:val="21"/>
          <w:szCs w:val="21"/>
          <w:lang w:eastAsia="zh-CN"/>
        </w:rPr>
        <w:t>开户名称：</w:t>
      </w:r>
      <w:r>
        <w:rPr>
          <w:rFonts w:hint="eastAsia" w:ascii="宋体" w:hAnsi="宋体" w:cs="宋体"/>
          <w:color w:val="auto"/>
          <w:sz w:val="21"/>
          <w:szCs w:val="21"/>
          <w:lang w:eastAsia="zh-CN"/>
        </w:rPr>
        <w:t>宁波振诚矿业有限公司</w:t>
      </w:r>
    </w:p>
    <w:p w14:paraId="7B936666">
      <w:pPr>
        <w:spacing w:line="360" w:lineRule="auto"/>
        <w:ind w:firstLine="420" w:firstLineChars="200"/>
        <w:rPr>
          <w:color w:val="auto"/>
          <w:sz w:val="21"/>
          <w:szCs w:val="21"/>
          <w:lang w:eastAsia="zh-CN"/>
        </w:rPr>
      </w:pPr>
      <w:r>
        <w:rPr>
          <w:color w:val="auto"/>
          <w:sz w:val="21"/>
          <w:szCs w:val="21"/>
          <w:lang w:eastAsia="zh-CN"/>
        </w:rPr>
        <w:t>开户银行：</w:t>
      </w:r>
      <w:r>
        <w:rPr>
          <w:rFonts w:hint="eastAsia" w:ascii="宋体" w:hAnsi="宋体" w:cs="宋体"/>
          <w:color w:val="auto"/>
          <w:sz w:val="21"/>
          <w:szCs w:val="21"/>
          <w:lang w:eastAsia="zh-CN"/>
        </w:rPr>
        <w:t>中国建设银行宁波市北仑区大榭支行</w:t>
      </w:r>
    </w:p>
    <w:p w14:paraId="683D97C9">
      <w:pPr>
        <w:spacing w:line="360" w:lineRule="auto"/>
        <w:ind w:firstLine="420" w:firstLineChars="200"/>
        <w:rPr>
          <w:color w:val="auto"/>
          <w:sz w:val="21"/>
          <w:szCs w:val="21"/>
          <w:lang w:eastAsia="zh-CN"/>
        </w:rPr>
      </w:pPr>
      <w:r>
        <w:rPr>
          <w:color w:val="auto"/>
          <w:sz w:val="21"/>
          <w:szCs w:val="21"/>
          <w:lang w:eastAsia="zh-CN"/>
        </w:rPr>
        <w:t>账    号：</w:t>
      </w:r>
      <w:r>
        <w:rPr>
          <w:rFonts w:hint="eastAsia" w:ascii="宋体" w:hAnsi="宋体" w:cs="宋体"/>
          <w:color w:val="auto"/>
          <w:sz w:val="21"/>
          <w:szCs w:val="21"/>
          <w:lang w:eastAsia="zh-CN"/>
        </w:rPr>
        <w:t>33150198414300000716</w:t>
      </w:r>
    </w:p>
    <w:p w14:paraId="154D6889">
      <w:pPr>
        <w:spacing w:line="360" w:lineRule="auto"/>
        <w:rPr>
          <w:b/>
          <w:color w:val="auto"/>
          <w:sz w:val="21"/>
          <w:szCs w:val="21"/>
          <w:lang w:eastAsia="zh-CN"/>
        </w:rPr>
      </w:pPr>
      <w:r>
        <w:rPr>
          <w:b/>
          <w:color w:val="auto"/>
          <w:sz w:val="21"/>
          <w:szCs w:val="21"/>
          <w:lang w:eastAsia="zh-CN"/>
        </w:rPr>
        <w:t>7. 发布公告的媒介</w:t>
      </w:r>
    </w:p>
    <w:p w14:paraId="07264747">
      <w:pPr>
        <w:spacing w:line="360" w:lineRule="auto"/>
        <w:ind w:firstLine="420" w:firstLineChars="200"/>
        <w:rPr>
          <w:color w:val="auto"/>
          <w:sz w:val="21"/>
          <w:szCs w:val="21"/>
          <w:lang w:eastAsia="zh-CN"/>
        </w:rPr>
      </w:pPr>
      <w:r>
        <w:rPr>
          <w:color w:val="auto"/>
          <w:sz w:val="21"/>
          <w:szCs w:val="21"/>
          <w:lang w:eastAsia="zh-CN"/>
        </w:rPr>
        <w:t>本次招标公告在厦门国贸集团股份有限公司网站（www.itg.com.cn）</w:t>
      </w:r>
      <w:r>
        <w:rPr>
          <w:rFonts w:hint="eastAsia"/>
          <w:color w:val="auto"/>
          <w:sz w:val="21"/>
          <w:szCs w:val="21"/>
          <w:lang w:eastAsia="zh-CN"/>
        </w:rPr>
        <w:t>，</w:t>
      </w:r>
      <w:r>
        <w:rPr>
          <w:rFonts w:hint="eastAsia" w:ascii="宋体" w:hAnsi="宋体" w:cs="宋体"/>
          <w:color w:val="auto"/>
          <w:spacing w:val="-1"/>
          <w:sz w:val="19"/>
          <w:szCs w:val="19"/>
          <w:shd w:val="clear" w:color="auto" w:fill="FFFFFF"/>
          <w:lang w:eastAsia="zh-CN"/>
        </w:rPr>
        <w:t>中国采购与招标网/元博网（https://chinabidding.com.cn）上发布。</w:t>
      </w:r>
    </w:p>
    <w:p w14:paraId="3A9E89C7">
      <w:pPr>
        <w:spacing w:line="360" w:lineRule="auto"/>
        <w:rPr>
          <w:b/>
          <w:color w:val="auto"/>
          <w:sz w:val="21"/>
          <w:szCs w:val="21"/>
          <w:lang w:eastAsia="zh-CN"/>
        </w:rPr>
      </w:pPr>
      <w:r>
        <w:rPr>
          <w:b/>
          <w:color w:val="auto"/>
          <w:sz w:val="21"/>
          <w:szCs w:val="21"/>
          <w:lang w:eastAsia="zh-CN"/>
        </w:rPr>
        <w:t>8. 联系方式</w:t>
      </w:r>
    </w:p>
    <w:p w14:paraId="4F6F74C5">
      <w:pPr>
        <w:spacing w:line="360" w:lineRule="auto"/>
        <w:ind w:firstLine="420" w:firstLineChars="200"/>
        <w:rPr>
          <w:color w:val="auto"/>
          <w:sz w:val="21"/>
          <w:szCs w:val="21"/>
          <w:lang w:eastAsia="zh-CN"/>
        </w:rPr>
      </w:pPr>
      <w:r>
        <w:rPr>
          <w:color w:val="auto"/>
          <w:sz w:val="21"/>
          <w:szCs w:val="21"/>
          <w:lang w:eastAsia="zh-CN"/>
        </w:rPr>
        <w:t>招标人：宁波振诚矿业有限公司</w:t>
      </w:r>
    </w:p>
    <w:p w14:paraId="2F4FA225">
      <w:pPr>
        <w:spacing w:line="360" w:lineRule="auto"/>
        <w:ind w:firstLine="420" w:firstLineChars="200"/>
        <w:rPr>
          <w:color w:val="auto"/>
          <w:sz w:val="21"/>
          <w:szCs w:val="21"/>
          <w:lang w:eastAsia="zh-CN"/>
        </w:rPr>
      </w:pPr>
      <w:r>
        <w:rPr>
          <w:color w:val="auto"/>
          <w:sz w:val="21"/>
          <w:szCs w:val="21"/>
          <w:lang w:eastAsia="zh-CN"/>
        </w:rPr>
        <w:t>地址：宁波市北仑区大榭街道滨海东路12号码头东楼　</w:t>
      </w:r>
    </w:p>
    <w:p w14:paraId="6CDD7E51">
      <w:pPr>
        <w:spacing w:line="360" w:lineRule="auto"/>
        <w:rPr>
          <w:color w:val="auto"/>
          <w:sz w:val="21"/>
          <w:szCs w:val="21"/>
          <w:lang w:eastAsia="zh-CN"/>
        </w:rPr>
      </w:pPr>
      <w:r>
        <w:rPr>
          <w:color w:val="auto"/>
          <w:sz w:val="21"/>
          <w:szCs w:val="21"/>
          <w:lang w:eastAsia="zh-CN"/>
        </w:rPr>
        <w:t>联系人及电话：</w:t>
      </w:r>
      <w:r>
        <w:rPr>
          <w:rFonts w:hint="eastAsia"/>
          <w:color w:val="auto"/>
          <w:sz w:val="21"/>
          <w:szCs w:val="21"/>
          <w:lang w:eastAsia="zh-CN"/>
        </w:rPr>
        <w:t>韩先生（流程咨询）/0574-56265756；</w:t>
      </w:r>
    </w:p>
    <w:p w14:paraId="2F35432E">
      <w:pPr>
        <w:spacing w:line="360" w:lineRule="auto"/>
        <w:ind w:firstLine="1470" w:firstLineChars="700"/>
        <w:rPr>
          <w:rFonts w:hint="eastAsia"/>
          <w:color w:val="auto"/>
          <w:sz w:val="21"/>
          <w:szCs w:val="21"/>
          <w:lang w:eastAsia="zh-CN"/>
        </w:rPr>
      </w:pPr>
      <w:r>
        <w:rPr>
          <w:rFonts w:hint="eastAsia"/>
          <w:color w:val="auto"/>
          <w:sz w:val="21"/>
          <w:szCs w:val="21"/>
          <w:lang w:eastAsia="zh-CN"/>
        </w:rPr>
        <w:t>谢先生（业务咨询）/</w:t>
      </w:r>
      <w:r>
        <w:rPr>
          <w:color w:val="auto"/>
          <w:sz w:val="21"/>
          <w:szCs w:val="21"/>
          <w:lang w:eastAsia="zh-CN"/>
        </w:rPr>
        <w:t>13575601747</w:t>
      </w:r>
    </w:p>
    <w:p w14:paraId="630A3D85">
      <w:pPr>
        <w:spacing w:line="360" w:lineRule="auto"/>
        <w:ind w:firstLine="420" w:firstLineChars="200"/>
        <w:rPr>
          <w:color w:val="auto"/>
          <w:sz w:val="21"/>
          <w:szCs w:val="21"/>
          <w:lang w:eastAsia="zh-CN"/>
        </w:rPr>
      </w:pPr>
      <w:r>
        <w:rPr>
          <w:color w:val="auto"/>
          <w:sz w:val="21"/>
          <w:szCs w:val="21"/>
          <w:lang w:eastAsia="zh-CN"/>
        </w:rPr>
        <w:t>电子邮箱：</w:t>
      </w:r>
      <w:r>
        <w:rPr>
          <w:rFonts w:hint="eastAsia"/>
          <w:color w:val="auto"/>
          <w:sz w:val="21"/>
          <w:szCs w:val="21"/>
          <w:lang w:eastAsia="zh-CN"/>
        </w:rPr>
        <w:t>zckyxszb@itg.com.cn</w:t>
      </w:r>
    </w:p>
    <w:p w14:paraId="5F74BE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000000"/>
    <w:rsid w:val="5FEE2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ar-SA"/>
    </w:rPr>
  </w:style>
  <w:style w:type="paragraph" w:styleId="2">
    <w:name w:val="heading 2"/>
    <w:basedOn w:val="1"/>
    <w:next w:val="3"/>
    <w:qFormat/>
    <w:uiPriority w:val="0"/>
    <w:pPr>
      <w:keepNext/>
      <w:keepLines/>
      <w:spacing w:before="260" w:after="260" w:line="412" w:lineRule="auto"/>
      <w:outlineLvl w:val="1"/>
    </w:pPr>
    <w:rPr>
      <w:rFonts w:ascii="Arial" w:hAnsi="Arial" w:eastAsia="黑体"/>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rPr>
      <w:szCs w:val="24"/>
    </w:rPr>
  </w:style>
  <w:style w:type="paragraph" w:styleId="4">
    <w:name w:val="Body Text"/>
    <w:basedOn w:val="1"/>
    <w:next w:val="5"/>
    <w:qFormat/>
    <w:uiPriority w:val="0"/>
    <w:pPr>
      <w:spacing w:after="120"/>
    </w:pPr>
    <w:rPr>
      <w:szCs w:val="24"/>
    </w:rPr>
  </w:style>
  <w:style w:type="paragraph" w:styleId="5">
    <w:name w:val="Body Text First Indent"/>
    <w:basedOn w:val="4"/>
    <w:next w:val="6"/>
    <w:unhideWhenUsed/>
    <w:qFormat/>
    <w:uiPriority w:val="99"/>
    <w:pPr>
      <w:ind w:firstLine="420" w:firstLineChars="100"/>
    </w:pPr>
    <w:rPr>
      <w:szCs w:val="20"/>
    </w:rPr>
  </w:style>
  <w:style w:type="paragraph" w:styleId="6">
    <w:name w:val="toc 6"/>
    <w:basedOn w:val="1"/>
    <w:next w:val="1"/>
    <w:qFormat/>
    <w:uiPriority w:val="39"/>
    <w:pPr>
      <w:ind w:left="1000" w:leftChars="1000"/>
    </w:pPr>
  </w:style>
  <w:style w:type="character" w:styleId="9">
    <w:name w:val="Hyperlink"/>
    <w:qFormat/>
    <w:uiPriority w:val="0"/>
    <w:rPr>
      <w:color w:val="0000FF"/>
      <w:u w:val="single"/>
    </w:rPr>
  </w:style>
  <w:style w:type="paragraph" w:customStyle="1" w:styleId="10">
    <w:name w:val="公告正文"/>
    <w:basedOn w:val="1"/>
    <w:qFormat/>
    <w:uiPriority w:val="0"/>
    <w:pPr>
      <w:spacing w:line="400" w:lineRule="atLeast"/>
      <w:ind w:firstLine="437"/>
    </w:pPr>
    <w:rPr>
      <w:rFonts w:ascii="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2024-08-05T00:41:29Z</dcterms:created>
  <dc:creator>chenlingjun</dc:creator>
  <cp:lastModifiedBy>我系渣渣星</cp:lastModifiedBy>
  <dcterms:modified xsi:type="dcterms:W3CDTF">2024-08-05T00:43:49Z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4B36D580E3474A149BD502CE5C089704_12</vt:lpwstr>
  </property>
</Properties>
</file>