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eastAsiaTheme="minorEastAsia"/>
          <w:color w:val="auto"/>
          <w:sz w:val="28"/>
          <w:szCs w:val="28"/>
          <w:highlight w:val="none"/>
          <w:lang w:val="en-US" w:eastAsia="zh-CN"/>
        </w:rPr>
      </w:pPr>
      <w:bookmarkStart w:id="23" w:name="_GoBack"/>
      <w:r>
        <w:rPr>
          <w:rFonts w:hint="eastAsia"/>
          <w:color w:val="auto"/>
          <w:sz w:val="28"/>
          <w:szCs w:val="28"/>
          <w:highlight w:val="none"/>
        </w:rPr>
        <w:t>庐山市西牯岭新材料有限公司砂石骨料生产线设备安装及非标件制作安装工程</w:t>
      </w:r>
      <w:r>
        <w:rPr>
          <w:rFonts w:hint="eastAsia"/>
          <w:color w:val="auto"/>
          <w:sz w:val="28"/>
          <w:szCs w:val="28"/>
          <w:highlight w:val="none"/>
          <w:lang w:val="en-US" w:eastAsia="zh-CN"/>
        </w:rPr>
        <w:t>招标公告</w:t>
      </w:r>
    </w:p>
    <w:p>
      <w:pPr>
        <w:spacing w:line="400" w:lineRule="exact"/>
        <w:jc w:val="center"/>
        <w:rPr>
          <w:rFonts w:ascii="宋体" w:hAnsi="宋体" w:eastAsia="宋体" w:cs="宋体"/>
          <w:color w:val="auto"/>
          <w:kern w:val="0"/>
          <w:sz w:val="24"/>
          <w:highlight w:val="none"/>
        </w:rPr>
      </w:pPr>
    </w:p>
    <w:p>
      <w:pPr>
        <w:pStyle w:val="3"/>
        <w:numPr>
          <w:ilvl w:val="0"/>
          <w:numId w:val="0"/>
        </w:numPr>
        <w:spacing w:before="0" w:after="0"/>
        <w:rPr>
          <w:rFonts w:hint="eastAsia" w:asciiTheme="majorEastAsia" w:hAnsiTheme="majorEastAsia" w:eastAsiaTheme="majorEastAsia" w:cstheme="majorEastAsia"/>
          <w:b/>
          <w:i w:val="0"/>
          <w:color w:val="auto"/>
          <w:sz w:val="24"/>
          <w:szCs w:val="24"/>
          <w:highlight w:val="none"/>
        </w:rPr>
      </w:pPr>
      <w:bookmarkStart w:id="0" w:name="_Toc241902809"/>
      <w:bookmarkStart w:id="1" w:name="_Toc29248"/>
      <w:bookmarkStart w:id="2" w:name="_Toc241901980"/>
      <w:r>
        <w:rPr>
          <w:rFonts w:hint="eastAsia" w:asciiTheme="majorEastAsia" w:hAnsiTheme="majorEastAsia" w:eastAsiaTheme="majorEastAsia" w:cstheme="majorEastAsia"/>
          <w:b/>
          <w:i w:val="0"/>
          <w:color w:val="auto"/>
          <w:sz w:val="24"/>
          <w:szCs w:val="24"/>
          <w:highlight w:val="none"/>
        </w:rPr>
        <w:t>一、招标条件</w:t>
      </w:r>
      <w:bookmarkEnd w:id="0"/>
      <w:bookmarkEnd w:id="1"/>
      <w:bookmarkEnd w:id="2"/>
    </w:p>
    <w:p>
      <w:pPr>
        <w:pStyle w:val="6"/>
        <w:adjustRightInd w:val="0"/>
        <w:snapToGrid w:val="0"/>
        <w:spacing w:line="482" w:lineRule="exact"/>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color w:val="auto"/>
          <w:sz w:val="24"/>
          <w:szCs w:val="24"/>
          <w:highlight w:val="none"/>
        </w:rPr>
        <w:t>庐山市西牯岭新材料有限公司砂石骨料生产线设备安装及非标件制作安装</w:t>
      </w:r>
      <w:r>
        <w:rPr>
          <w:rFonts w:hint="eastAsia" w:asciiTheme="majorEastAsia" w:hAnsiTheme="majorEastAsia" w:eastAsiaTheme="majorEastAsia" w:cstheme="majorEastAsia"/>
          <w:bCs/>
          <w:color w:val="auto"/>
          <w:sz w:val="24"/>
          <w:szCs w:val="24"/>
          <w:highlight w:val="none"/>
        </w:rPr>
        <w:t>工程</w:t>
      </w:r>
      <w:r>
        <w:rPr>
          <w:rFonts w:hint="eastAsia" w:asciiTheme="majorEastAsia" w:hAnsiTheme="majorEastAsia" w:eastAsiaTheme="majorEastAsia" w:cstheme="majorEastAsia"/>
          <w:color w:val="auto"/>
          <w:spacing w:val="32"/>
          <w:w w:val="90"/>
          <w:sz w:val="24"/>
          <w:szCs w:val="24"/>
          <w:highlight w:val="none"/>
        </w:rPr>
        <w:t>项目</w:t>
      </w:r>
      <w:r>
        <w:rPr>
          <w:rFonts w:hint="eastAsia" w:asciiTheme="majorEastAsia" w:hAnsiTheme="majorEastAsia" w:eastAsiaTheme="majorEastAsia" w:cstheme="majorEastAsia"/>
          <w:color w:val="auto"/>
          <w:sz w:val="24"/>
          <w:szCs w:val="24"/>
          <w:highlight w:val="none"/>
        </w:rPr>
        <w:t>（下称“本项目”）已列入公司年度预算，本项目已经集团公司批准，项目业主为庐山市西牯岭新材料有限公司（下称“招标人”），资金自筹已到位,已具备招标条件，招标人现对本项目进行</w:t>
      </w:r>
      <w:r>
        <w:rPr>
          <w:rFonts w:hint="eastAsia" w:asciiTheme="majorEastAsia" w:hAnsiTheme="majorEastAsia" w:eastAsiaTheme="majorEastAsia" w:cstheme="majorEastAsia"/>
          <w:color w:val="auto"/>
          <w:sz w:val="24"/>
          <w:szCs w:val="24"/>
          <w:highlight w:val="none"/>
          <w:lang w:val="en-US" w:eastAsia="zh-CN"/>
        </w:rPr>
        <w:t>公开</w:t>
      </w:r>
      <w:r>
        <w:rPr>
          <w:rFonts w:hint="eastAsia" w:asciiTheme="majorEastAsia" w:hAnsiTheme="majorEastAsia" w:eastAsiaTheme="majorEastAsia" w:cstheme="majorEastAsia"/>
          <w:color w:val="auto"/>
          <w:sz w:val="24"/>
          <w:szCs w:val="24"/>
          <w:highlight w:val="none"/>
        </w:rPr>
        <w:t>招标。</w:t>
      </w:r>
    </w:p>
    <w:p>
      <w:pPr>
        <w:pStyle w:val="3"/>
        <w:numPr>
          <w:ilvl w:val="0"/>
          <w:numId w:val="0"/>
        </w:numPr>
        <w:spacing w:before="0" w:after="0"/>
        <w:rPr>
          <w:rFonts w:hint="eastAsia" w:asciiTheme="majorEastAsia" w:hAnsiTheme="majorEastAsia" w:eastAsiaTheme="majorEastAsia" w:cstheme="majorEastAsia"/>
          <w:b/>
          <w:i w:val="0"/>
          <w:color w:val="auto"/>
          <w:sz w:val="24"/>
          <w:szCs w:val="24"/>
          <w:highlight w:val="none"/>
        </w:rPr>
      </w:pPr>
      <w:bookmarkStart w:id="3" w:name="_Toc241901981"/>
      <w:bookmarkStart w:id="4" w:name="_Toc30721"/>
      <w:bookmarkStart w:id="5" w:name="_Toc241902810"/>
      <w:r>
        <w:rPr>
          <w:rFonts w:hint="eastAsia" w:asciiTheme="majorEastAsia" w:hAnsiTheme="majorEastAsia" w:eastAsiaTheme="majorEastAsia" w:cstheme="majorEastAsia"/>
          <w:b/>
          <w:i w:val="0"/>
          <w:color w:val="auto"/>
          <w:sz w:val="24"/>
          <w:szCs w:val="24"/>
          <w:highlight w:val="none"/>
        </w:rPr>
        <w:t>二、项目概况及招标范围</w:t>
      </w:r>
      <w:bookmarkEnd w:id="3"/>
      <w:bookmarkEnd w:id="4"/>
      <w:bookmarkEnd w:id="5"/>
    </w:p>
    <w:p>
      <w:pPr>
        <w:spacing w:line="400" w:lineRule="exact"/>
        <w:ind w:firstLine="480" w:firstLineChars="200"/>
        <w:outlineLvl w:val="2"/>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1、项目概况</w:t>
      </w:r>
    </w:p>
    <w:p>
      <w:pPr>
        <w:spacing w:line="400" w:lineRule="exact"/>
        <w:ind w:firstLine="720" w:firstLineChars="3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本公司成立于 2020年12月4日，是江西省内集开采、生产、水路运输、销售于一体的特大型综合性饰面花岗岩石材面板和机制砂石骨料企业，开采年限22年。公司拟建生产能力为3000-7000t/h的骨料生产线和山砂加工生产线，产品规格主要为0-5mm、5-10mm、10-20mm、20-28mm机制砂和骨料。</w:t>
      </w:r>
    </w:p>
    <w:p>
      <w:pPr>
        <w:spacing w:line="400" w:lineRule="exact"/>
        <w:ind w:firstLine="720" w:firstLineChars="3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1.1、项目位置：本项目位于江西省九江市庐山市温泉镇钱湖村。</w:t>
      </w:r>
    </w:p>
    <w:p>
      <w:pPr>
        <w:spacing w:line="400" w:lineRule="exact"/>
        <w:ind w:firstLine="720" w:firstLineChars="3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1.2、交通条件：矿区有矿山运输公路5km至庐山市山南公路与105国道相连。距庐山市城区5km，距九江市40km，距京九铁路德安站34 km，交通便利。</w:t>
      </w:r>
    </w:p>
    <w:p>
      <w:pPr>
        <w:spacing w:line="400" w:lineRule="exact"/>
        <w:ind w:firstLine="480" w:firstLineChars="200"/>
        <w:outlineLvl w:val="2"/>
        <w:rPr>
          <w:rFonts w:hint="eastAsia" w:asciiTheme="majorEastAsia" w:hAnsiTheme="majorEastAsia" w:eastAsiaTheme="majorEastAsia" w:cstheme="majorEastAsia"/>
          <w:bCs/>
          <w:color w:val="auto"/>
          <w:sz w:val="24"/>
          <w:szCs w:val="24"/>
          <w:highlight w:val="none"/>
          <w:u w:val="single"/>
        </w:rPr>
      </w:pPr>
      <w:r>
        <w:rPr>
          <w:rFonts w:hint="eastAsia" w:asciiTheme="majorEastAsia" w:hAnsiTheme="majorEastAsia" w:eastAsiaTheme="majorEastAsia" w:cstheme="majorEastAsia"/>
          <w:color w:val="auto"/>
          <w:sz w:val="24"/>
          <w:szCs w:val="24"/>
          <w:highlight w:val="none"/>
        </w:rPr>
        <w:t>2、工程名称：</w:t>
      </w:r>
      <w:r>
        <w:rPr>
          <w:rFonts w:hint="eastAsia" w:asciiTheme="majorEastAsia" w:hAnsiTheme="majorEastAsia" w:eastAsiaTheme="majorEastAsia" w:cstheme="majorEastAsia"/>
          <w:color w:val="auto"/>
          <w:sz w:val="24"/>
          <w:szCs w:val="24"/>
          <w:highlight w:val="none"/>
          <w:u w:val="single"/>
        </w:rPr>
        <w:t>庐山市西牯岭新材料有限公司砂石骨料生产线设备安装及非标件制作安装</w:t>
      </w:r>
      <w:r>
        <w:rPr>
          <w:rFonts w:hint="eastAsia" w:asciiTheme="majorEastAsia" w:hAnsiTheme="majorEastAsia" w:eastAsiaTheme="majorEastAsia" w:cstheme="majorEastAsia"/>
          <w:bCs/>
          <w:color w:val="auto"/>
          <w:sz w:val="24"/>
          <w:szCs w:val="24"/>
          <w:highlight w:val="none"/>
          <w:u w:val="single"/>
        </w:rPr>
        <w:t>工程</w:t>
      </w:r>
    </w:p>
    <w:p>
      <w:pPr>
        <w:snapToGrid w:val="0"/>
        <w:ind w:firstLine="480" w:firstLineChars="200"/>
        <w:rPr>
          <w:rFonts w:hint="eastAsia" w:asciiTheme="majorEastAsia" w:hAnsiTheme="majorEastAsia" w:eastAsiaTheme="majorEastAsia" w:cstheme="majorEastAsia"/>
          <w:b/>
          <w:color w:val="auto"/>
          <w:spacing w:val="32"/>
          <w:w w:val="90"/>
          <w:sz w:val="24"/>
          <w:szCs w:val="24"/>
          <w:highlight w:val="none"/>
          <w:u w:val="single"/>
        </w:rPr>
      </w:pPr>
      <w:r>
        <w:rPr>
          <w:rFonts w:hint="eastAsia" w:asciiTheme="majorEastAsia" w:hAnsiTheme="majorEastAsia" w:eastAsiaTheme="majorEastAsia" w:cstheme="majorEastAsia"/>
          <w:color w:val="auto"/>
          <w:kern w:val="0"/>
          <w:sz w:val="24"/>
          <w:szCs w:val="24"/>
          <w:highlight w:val="none"/>
        </w:rPr>
        <w:t>3、工程项目编码：</w:t>
      </w:r>
      <w:r>
        <w:rPr>
          <w:rFonts w:hint="eastAsia" w:asciiTheme="majorEastAsia" w:hAnsiTheme="majorEastAsia" w:eastAsiaTheme="majorEastAsia" w:cstheme="majorEastAsia"/>
          <w:color w:val="auto"/>
          <w:sz w:val="24"/>
          <w:szCs w:val="24"/>
          <w:highlight w:val="none"/>
          <w:u w:val="single"/>
        </w:rPr>
        <w:t>XGLGC06-202405-02-SBAZ03 。</w:t>
      </w:r>
    </w:p>
    <w:p>
      <w:pPr>
        <w:spacing w:line="400" w:lineRule="exact"/>
        <w:ind w:firstLine="480" w:firstLineChars="200"/>
        <w:outlineLvl w:val="2"/>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sz w:val="24"/>
          <w:szCs w:val="24"/>
          <w:highlight w:val="none"/>
        </w:rPr>
        <w:t>4、招标范围</w:t>
      </w:r>
    </w:p>
    <w:p>
      <w:pPr>
        <w:spacing w:line="400" w:lineRule="exact"/>
        <w:ind w:firstLine="720" w:firstLineChars="300"/>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bCs/>
          <w:color w:val="auto"/>
          <w:kern w:val="0"/>
          <w:sz w:val="24"/>
          <w:szCs w:val="24"/>
          <w:highlight w:val="none"/>
        </w:rPr>
        <w:t>本次招标的</w:t>
      </w:r>
      <w:r>
        <w:rPr>
          <w:rFonts w:hint="eastAsia" w:asciiTheme="majorEastAsia" w:hAnsiTheme="majorEastAsia" w:eastAsiaTheme="majorEastAsia" w:cstheme="majorEastAsia"/>
          <w:bCs/>
          <w:color w:val="auto"/>
          <w:sz w:val="24"/>
          <w:szCs w:val="24"/>
          <w:highlight w:val="none"/>
        </w:rPr>
        <w:t>项目</w:t>
      </w:r>
      <w:r>
        <w:rPr>
          <w:rFonts w:hint="eastAsia" w:asciiTheme="majorEastAsia" w:hAnsiTheme="majorEastAsia" w:eastAsiaTheme="majorEastAsia" w:cstheme="majorEastAsia"/>
          <w:bCs/>
          <w:color w:val="auto"/>
          <w:kern w:val="0"/>
          <w:sz w:val="24"/>
          <w:szCs w:val="24"/>
          <w:highlight w:val="none"/>
        </w:rPr>
        <w:t>是</w:t>
      </w:r>
      <w:r>
        <w:rPr>
          <w:rFonts w:hint="eastAsia" w:asciiTheme="majorEastAsia" w:hAnsiTheme="majorEastAsia" w:eastAsiaTheme="majorEastAsia" w:cstheme="majorEastAsia"/>
          <w:color w:val="auto"/>
          <w:sz w:val="24"/>
          <w:szCs w:val="24"/>
          <w:highlight w:val="none"/>
        </w:rPr>
        <w:t>西牯岭砂石骨料生产线设备安装及非标件制作安装</w:t>
      </w:r>
      <w:r>
        <w:rPr>
          <w:rFonts w:hint="eastAsia" w:asciiTheme="majorEastAsia" w:hAnsiTheme="majorEastAsia" w:eastAsiaTheme="majorEastAsia" w:cstheme="majorEastAsia"/>
          <w:bCs/>
          <w:color w:val="auto"/>
          <w:sz w:val="24"/>
          <w:szCs w:val="24"/>
          <w:highlight w:val="none"/>
        </w:rPr>
        <w:t>工程施工安装项目</w:t>
      </w:r>
      <w:r>
        <w:rPr>
          <w:rFonts w:hint="eastAsia" w:asciiTheme="majorEastAsia" w:hAnsiTheme="majorEastAsia" w:eastAsiaTheme="majorEastAsia" w:cstheme="majorEastAsia"/>
          <w:color w:val="auto"/>
          <w:kern w:val="0"/>
          <w:sz w:val="24"/>
          <w:szCs w:val="24"/>
          <w:highlight w:val="none"/>
        </w:rPr>
        <w:t>，主要范围包含</w:t>
      </w:r>
      <w:r>
        <w:rPr>
          <w:rFonts w:hint="eastAsia" w:asciiTheme="majorEastAsia" w:hAnsiTheme="majorEastAsia" w:eastAsiaTheme="majorEastAsia" w:cstheme="majorEastAsia"/>
          <w:color w:val="auto"/>
          <w:sz w:val="24"/>
          <w:szCs w:val="24"/>
          <w:highlight w:val="none"/>
        </w:rPr>
        <w:t>西牯岭矿业生产</w:t>
      </w:r>
      <w:r>
        <w:rPr>
          <w:rFonts w:hint="eastAsia" w:asciiTheme="majorEastAsia" w:hAnsiTheme="majorEastAsia" w:eastAsiaTheme="majorEastAsia" w:cstheme="majorEastAsia"/>
          <w:color w:val="auto"/>
          <w:kern w:val="0"/>
          <w:sz w:val="24"/>
          <w:szCs w:val="24"/>
          <w:highlight w:val="none"/>
        </w:rPr>
        <w:t>加工区生产线上（包括长廊道输送线上）的主机、辅机及配套附件设备的安装；缓冲料仓、溜槽（管）、钢制平台、楼（爬）梯、钢立柱、钢支架、零星砼设备基础（包括二次灌浆）、风管、压力管道及设备（含部分采购）等非标件的制作安装。包括但也不限于招标人单独采购（或新增）安装遗漏项目的安装子项、联动试车的内容。</w:t>
      </w:r>
    </w:p>
    <w:p>
      <w:pPr>
        <w:spacing w:line="400" w:lineRule="exact"/>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b/>
          <w:color w:val="auto"/>
          <w:kern w:val="0"/>
          <w:sz w:val="24"/>
          <w:szCs w:val="24"/>
          <w:highlight w:val="none"/>
        </w:rPr>
        <w:t>三、</w:t>
      </w:r>
      <w:bookmarkStart w:id="6" w:name="_Toc22428"/>
      <w:bookmarkStart w:id="7" w:name="_Toc241901982"/>
      <w:bookmarkStart w:id="8" w:name="_Toc241902811"/>
      <w:r>
        <w:rPr>
          <w:rFonts w:hint="eastAsia" w:asciiTheme="majorEastAsia" w:hAnsiTheme="majorEastAsia" w:eastAsiaTheme="majorEastAsia" w:cstheme="majorEastAsia"/>
          <w:b/>
          <w:color w:val="auto"/>
          <w:sz w:val="24"/>
          <w:szCs w:val="24"/>
          <w:highlight w:val="none"/>
        </w:rPr>
        <w:t>投标人资格要求</w:t>
      </w:r>
      <w:bookmarkEnd w:id="6"/>
      <w:bookmarkEnd w:id="7"/>
      <w:bookmarkEnd w:id="8"/>
    </w:p>
    <w:p>
      <w:pPr>
        <w:spacing w:line="40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1.投标人必须满足的条件</w:t>
      </w:r>
    </w:p>
    <w:p>
      <w:pPr>
        <w:widowControl/>
        <w:tabs>
          <w:tab w:val="left" w:pos="709"/>
        </w:tabs>
        <w:spacing w:line="400" w:lineRule="exact"/>
        <w:ind w:firstLine="720" w:firstLineChars="3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w:t>
      </w:r>
      <w:r>
        <w:rPr>
          <w:rFonts w:hint="eastAsia" w:asciiTheme="majorEastAsia" w:hAnsiTheme="majorEastAsia" w:eastAsiaTheme="majorEastAsia" w:cstheme="majorEastAsia"/>
          <w:color w:val="auto"/>
          <w:kern w:val="0"/>
          <w:sz w:val="24"/>
          <w:szCs w:val="24"/>
          <w:highlight w:val="none"/>
        </w:rPr>
        <w:t>在中国境内依法注册的企业法人，注册资本金不低于5000万元（人民币），且合法存续，没有处于被吊销营业执照、责令关闭或者被撤销等不良状态。</w:t>
      </w:r>
      <w:r>
        <w:rPr>
          <w:rFonts w:hint="eastAsia" w:asciiTheme="majorEastAsia" w:hAnsiTheme="majorEastAsia" w:eastAsiaTheme="majorEastAsia" w:cstheme="majorEastAsia"/>
          <w:color w:val="auto"/>
          <w:sz w:val="24"/>
          <w:szCs w:val="24"/>
          <w:highlight w:val="none"/>
        </w:rPr>
        <w:t>参加投标的单位报名时应提交营业执照，资质等级证明，经审查合格后才能参加本项目的投标。</w:t>
      </w:r>
    </w:p>
    <w:p>
      <w:pPr>
        <w:pStyle w:val="5"/>
        <w:spacing w:beforeAutospacing="0" w:afterAutospacing="0" w:line="400" w:lineRule="exact"/>
        <w:ind w:firstLine="720" w:firstLineChars="3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1.2.投标人资质：机电工程施工总承包二级（且含钢结构专业承包二级或以上资质），或建筑机电设备安装专业承包一级（且含钢结构专业承包二级或以上资质）资质及以上；</w:t>
      </w:r>
      <w:r>
        <w:rPr>
          <w:rFonts w:hint="eastAsia" w:asciiTheme="majorEastAsia" w:hAnsiTheme="majorEastAsia" w:eastAsiaTheme="majorEastAsia" w:cstheme="majorEastAsia"/>
          <w:color w:val="auto"/>
          <w:sz w:val="24"/>
          <w:szCs w:val="24"/>
          <w:highlight w:val="none"/>
        </w:rPr>
        <w:t>同时具有有效期内的安全生产许可证。</w:t>
      </w:r>
    </w:p>
    <w:p>
      <w:pPr>
        <w:tabs>
          <w:tab w:val="right" w:pos="9638"/>
        </w:tabs>
        <w:ind w:firstLine="720" w:firstLineChars="3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 投标人项目人员资格：项目负责人是国家注册二级机电建造师或以上资格，职称为中级或以上职称证书；技术负责人为中级或以上职称证书；拟派施工员、质量员、机械员等有效的上岗证书或培训证书及专职安全员的安全生产考核合格证书C证【若部分外省市关键岗位的规定与江西省不一致，提供外省级（含副省级）建设行政主管部门的有关文件，从其文件执行】。</w:t>
      </w:r>
    </w:p>
    <w:p>
      <w:pPr>
        <w:widowControl/>
        <w:tabs>
          <w:tab w:val="left" w:pos="709"/>
        </w:tabs>
        <w:spacing w:line="400" w:lineRule="exact"/>
        <w:ind w:firstLine="720" w:firstLineChars="3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1.4.投标人根据需要可自行考察项目现场，核算运距，结合自己的制安、运输、成本控制能力（含税管费等）等提出合理的投标价，考察费用由投标人自理。</w:t>
      </w:r>
    </w:p>
    <w:p>
      <w:pPr>
        <w:widowControl/>
        <w:tabs>
          <w:tab w:val="left" w:pos="709"/>
        </w:tabs>
        <w:spacing w:line="400" w:lineRule="exact"/>
        <w:ind w:firstLine="720" w:firstLineChars="3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 投标人具有良好的商业信誉和履行本项目的财务能力；投标人没有处于被责令停业、财产被接管、冻结、破产状态；无采取非法手段谋取不正当利益的违法、违纪不良记录；近三年内参加招投标活动中，投标人有不良记录的将导致资格审查不合格。</w:t>
      </w:r>
    </w:p>
    <w:p>
      <w:pPr>
        <w:spacing w:line="400" w:lineRule="exact"/>
        <w:ind w:firstLine="720" w:firstLineChars="3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1.6.投标人不存在《中华人民共和国招标投标法》、《中华人民共和国招标投标法实施条例》禁止投标的情形。</w:t>
      </w:r>
    </w:p>
    <w:p>
      <w:pPr>
        <w:pStyle w:val="11"/>
        <w:spacing w:line="400" w:lineRule="exact"/>
        <w:ind w:firstLine="720" w:firstLineChars="3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1.7.参与本项目投标的投标人需要交纳投标保证金，投标保证金30万元，投标截止日</w:t>
      </w:r>
      <w:r>
        <w:rPr>
          <w:rFonts w:hint="eastAsia" w:asciiTheme="majorEastAsia" w:hAnsiTheme="majorEastAsia" w:eastAsiaTheme="majorEastAsia" w:cstheme="majorEastAsia"/>
          <w:color w:val="auto"/>
          <w:sz w:val="24"/>
          <w:szCs w:val="24"/>
          <w:highlight w:val="none"/>
          <w:lang w:val="en-US" w:eastAsia="zh-CN"/>
        </w:rPr>
        <w:t>6月24日</w:t>
      </w:r>
      <w:r>
        <w:rPr>
          <w:rFonts w:hint="eastAsia" w:asciiTheme="majorEastAsia" w:hAnsiTheme="majorEastAsia" w:eastAsiaTheme="majorEastAsia" w:cstheme="majorEastAsia"/>
          <w:color w:val="auto"/>
          <w:sz w:val="24"/>
          <w:szCs w:val="24"/>
          <w:highlight w:val="none"/>
        </w:rPr>
        <w:t>之前一天电汇到招标方指定账户，未按时交纳保证金视为放弃本次投标。</w:t>
      </w:r>
      <w:bookmarkStart w:id="9" w:name="_Toc241901983"/>
      <w:bookmarkStart w:id="10" w:name="_Toc241902812"/>
      <w:bookmarkStart w:id="11" w:name="_Toc7393"/>
    </w:p>
    <w:p>
      <w:pPr>
        <w:pStyle w:val="11"/>
        <w:spacing w:line="400" w:lineRule="exact"/>
        <w:ind w:firstLine="0" w:firstLineChars="0"/>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color w:val="auto"/>
          <w:sz w:val="24"/>
          <w:szCs w:val="24"/>
          <w:highlight w:val="none"/>
        </w:rPr>
        <w:t>四、招标文件的获取</w:t>
      </w:r>
      <w:bookmarkEnd w:id="9"/>
      <w:bookmarkEnd w:id="10"/>
      <w:bookmarkEnd w:id="11"/>
    </w:p>
    <w:p>
      <w:pPr>
        <w:spacing w:line="360" w:lineRule="auto"/>
        <w:ind w:firstLine="480" w:firstLineChars="20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rPr>
        <w:t>1、报名时间：凡满足本公告规定的投标人资格要求并有意参加投标者，凭投标人法定代表人签发的针对本招标项目购买招标文件授权委托书（原件）、营业执照、购买招标文件经办人身份证等复印件（加盖公章）</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b/>
          <w:bCs/>
          <w:color w:val="auto"/>
          <w:sz w:val="24"/>
          <w:szCs w:val="24"/>
          <w:highlight w:val="none"/>
        </w:rPr>
        <w:t>请于2024年</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rPr>
        <w:t>月</w:t>
      </w:r>
      <w:r>
        <w:rPr>
          <w:rFonts w:hint="eastAsia" w:asciiTheme="majorEastAsia" w:hAnsiTheme="majorEastAsia" w:eastAsiaTheme="majorEastAsia" w:cstheme="majorEastAsia"/>
          <w:b/>
          <w:bCs/>
          <w:color w:val="auto"/>
          <w:sz w:val="24"/>
          <w:szCs w:val="24"/>
          <w:highlight w:val="none"/>
          <w:u w:val="single"/>
          <w:lang w:val="en-US" w:eastAsia="zh-CN"/>
        </w:rPr>
        <w:t>5</w:t>
      </w:r>
      <w:r>
        <w:rPr>
          <w:rFonts w:hint="eastAsia" w:asciiTheme="majorEastAsia" w:hAnsiTheme="majorEastAsia" w:eastAsiaTheme="majorEastAsia" w:cstheme="majorEastAsia"/>
          <w:b/>
          <w:bCs/>
          <w:color w:val="auto"/>
          <w:sz w:val="24"/>
          <w:szCs w:val="24"/>
          <w:highlight w:val="none"/>
        </w:rPr>
        <w:t>日</w:t>
      </w:r>
      <w:r>
        <w:rPr>
          <w:rFonts w:hint="eastAsia" w:asciiTheme="majorEastAsia" w:hAnsiTheme="majorEastAsia" w:eastAsiaTheme="majorEastAsia" w:cstheme="majorEastAsia"/>
          <w:b/>
          <w:bCs/>
          <w:color w:val="auto"/>
          <w:sz w:val="24"/>
          <w:szCs w:val="24"/>
          <w:highlight w:val="none"/>
          <w:lang w:val="en-US" w:eastAsia="zh-CN"/>
        </w:rPr>
        <w:t>至</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lang w:val="en-US" w:eastAsia="zh-CN"/>
        </w:rPr>
        <w:t>月</w:t>
      </w:r>
      <w:r>
        <w:rPr>
          <w:rFonts w:hint="eastAsia" w:asciiTheme="majorEastAsia" w:hAnsiTheme="majorEastAsia" w:eastAsiaTheme="majorEastAsia" w:cstheme="majorEastAsia"/>
          <w:b/>
          <w:bCs/>
          <w:color w:val="auto"/>
          <w:sz w:val="24"/>
          <w:szCs w:val="24"/>
          <w:highlight w:val="none"/>
          <w:u w:val="single"/>
          <w:lang w:val="en-US" w:eastAsia="zh-CN"/>
        </w:rPr>
        <w:t>12</w:t>
      </w:r>
      <w:r>
        <w:rPr>
          <w:rFonts w:hint="eastAsia" w:asciiTheme="majorEastAsia" w:hAnsiTheme="majorEastAsia" w:eastAsiaTheme="majorEastAsia" w:cstheme="majorEastAsia"/>
          <w:b/>
          <w:bCs/>
          <w:color w:val="auto"/>
          <w:sz w:val="24"/>
          <w:szCs w:val="24"/>
          <w:highlight w:val="none"/>
          <w:lang w:val="en-US" w:eastAsia="zh-CN"/>
        </w:rPr>
        <w:t>日</w:t>
      </w:r>
      <w:r>
        <w:rPr>
          <w:rFonts w:hint="eastAsia" w:asciiTheme="majorEastAsia" w:hAnsiTheme="majorEastAsia" w:eastAsiaTheme="majorEastAsia" w:cstheme="majorEastAsia"/>
          <w:b/>
          <w:bCs/>
          <w:color w:val="auto"/>
          <w:sz w:val="24"/>
          <w:szCs w:val="24"/>
          <w:highlight w:val="none"/>
        </w:rPr>
        <w:t>（上午</w:t>
      </w:r>
      <w:r>
        <w:rPr>
          <w:rFonts w:hint="eastAsia" w:asciiTheme="majorEastAsia" w:hAnsiTheme="majorEastAsia" w:eastAsiaTheme="majorEastAsia" w:cstheme="majorEastAsia"/>
          <w:b/>
          <w:bCs/>
          <w:color w:val="auto"/>
          <w:sz w:val="24"/>
          <w:szCs w:val="24"/>
          <w:highlight w:val="none"/>
        </w:rPr>
        <w:t>8:30-12:00,下午13:30—17:00）前报名购买招标文件。</w:t>
      </w:r>
    </w:p>
    <w:p>
      <w:pPr>
        <w:spacing w:line="40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2、招标文件</w:t>
      </w:r>
      <w:r>
        <w:rPr>
          <w:rFonts w:hint="eastAsia" w:asciiTheme="majorEastAsia" w:hAnsiTheme="majorEastAsia" w:eastAsiaTheme="majorEastAsia" w:cstheme="majorEastAsia"/>
          <w:color w:val="auto"/>
          <w:sz w:val="24"/>
          <w:szCs w:val="24"/>
          <w:highlight w:val="none"/>
        </w:rPr>
        <w:t>每套售价为人民币（大写）：叁佰元整（￥300元）。</w:t>
      </w:r>
      <w:r>
        <w:rPr>
          <w:rFonts w:hint="eastAsia" w:asciiTheme="majorEastAsia" w:hAnsiTheme="majorEastAsia" w:eastAsiaTheme="majorEastAsia" w:cstheme="majorEastAsia"/>
          <w:color w:val="auto"/>
          <w:sz w:val="24"/>
          <w:szCs w:val="24"/>
          <w:highlight w:val="none"/>
        </w:rPr>
        <w:t>购买招标文件费采用银行汇款的方式，售后不退，汇款备注中注明投标项目名称。</w:t>
      </w:r>
    </w:p>
    <w:p>
      <w:pPr>
        <w:spacing w:line="400" w:lineRule="exact"/>
        <w:ind w:firstLine="480" w:firstLineChars="200"/>
        <w:rPr>
          <w:rFonts w:hint="eastAsia" w:asciiTheme="majorEastAsia" w:hAnsiTheme="majorEastAsia" w:eastAsiaTheme="majorEastAsia" w:cstheme="majorEastAsia"/>
          <w:color w:val="auto"/>
          <w:sz w:val="24"/>
          <w:szCs w:val="24"/>
          <w:highlight w:val="none"/>
        </w:rPr>
      </w:pPr>
      <w:bookmarkStart w:id="12" w:name="_Toc241901984"/>
      <w:bookmarkStart w:id="13" w:name="_Toc241902813"/>
      <w:r>
        <w:rPr>
          <w:rFonts w:hint="eastAsia" w:asciiTheme="majorEastAsia" w:hAnsiTheme="majorEastAsia" w:eastAsiaTheme="majorEastAsia" w:cstheme="majorEastAsia"/>
          <w:color w:val="auto"/>
          <w:sz w:val="24"/>
          <w:szCs w:val="24"/>
          <w:highlight w:val="none"/>
        </w:rPr>
        <w:t>3、招标文件费与投标保证金收款单位信息如下：</w:t>
      </w:r>
    </w:p>
    <w:p>
      <w:pPr>
        <w:spacing w:line="4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开户单位（收款人）：庐山市西牯岭新材料有限公司</w:t>
      </w:r>
    </w:p>
    <w:p>
      <w:pPr>
        <w:spacing w:line="400" w:lineRule="exact"/>
        <w:rPr>
          <w:rFonts w:hint="eastAsia" w:asciiTheme="majorEastAsia" w:hAnsiTheme="majorEastAsia" w:eastAsiaTheme="majorEastAsia" w:cstheme="majorEastAsia"/>
          <w:color w:val="auto"/>
          <w:sz w:val="24"/>
          <w:szCs w:val="24"/>
          <w:highlight w:val="none"/>
        </w:rPr>
      </w:pPr>
      <w:bookmarkStart w:id="14" w:name="_Toc15553"/>
      <w:r>
        <w:rPr>
          <w:rFonts w:hint="eastAsia" w:asciiTheme="majorEastAsia" w:hAnsiTheme="majorEastAsia" w:eastAsiaTheme="majorEastAsia" w:cstheme="majorEastAsia"/>
          <w:color w:val="auto"/>
          <w:sz w:val="24"/>
          <w:szCs w:val="24"/>
          <w:highlight w:val="none"/>
        </w:rPr>
        <w:t>开户银行：中国农业银行庐山市支行</w:t>
      </w:r>
    </w:p>
    <w:p>
      <w:pPr>
        <w:spacing w:line="400" w:lineRule="exac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账号：1434 8101 0400 22912</w:t>
      </w:r>
    </w:p>
    <w:p>
      <w:pPr>
        <w:pStyle w:val="3"/>
        <w:numPr>
          <w:ilvl w:val="0"/>
          <w:numId w:val="0"/>
        </w:numPr>
        <w:spacing w:before="0" w:after="0"/>
        <w:rPr>
          <w:rFonts w:hint="eastAsia" w:asciiTheme="majorEastAsia" w:hAnsiTheme="majorEastAsia" w:eastAsiaTheme="majorEastAsia" w:cstheme="majorEastAsia"/>
          <w:b/>
          <w:i w:val="0"/>
          <w:color w:val="auto"/>
          <w:sz w:val="24"/>
          <w:szCs w:val="24"/>
          <w:highlight w:val="none"/>
        </w:rPr>
      </w:pPr>
      <w:r>
        <w:rPr>
          <w:rFonts w:hint="eastAsia" w:asciiTheme="majorEastAsia" w:hAnsiTheme="majorEastAsia" w:eastAsiaTheme="majorEastAsia" w:cstheme="majorEastAsia"/>
          <w:b/>
          <w:i w:val="0"/>
          <w:color w:val="auto"/>
          <w:sz w:val="24"/>
          <w:szCs w:val="24"/>
          <w:highlight w:val="none"/>
        </w:rPr>
        <w:t>五、</w:t>
      </w:r>
      <w:bookmarkEnd w:id="12"/>
      <w:bookmarkEnd w:id="13"/>
      <w:bookmarkStart w:id="15" w:name="_Toc241902814"/>
      <w:bookmarkStart w:id="16" w:name="_Toc241901985"/>
      <w:r>
        <w:rPr>
          <w:rFonts w:hint="eastAsia" w:asciiTheme="majorEastAsia" w:hAnsiTheme="majorEastAsia" w:eastAsiaTheme="majorEastAsia" w:cstheme="majorEastAsia"/>
          <w:b/>
          <w:i w:val="0"/>
          <w:color w:val="auto"/>
          <w:sz w:val="24"/>
          <w:szCs w:val="24"/>
          <w:highlight w:val="none"/>
        </w:rPr>
        <w:t>投标文件的递交</w:t>
      </w:r>
      <w:bookmarkEnd w:id="14"/>
      <w:bookmarkEnd w:id="15"/>
      <w:bookmarkEnd w:id="16"/>
    </w:p>
    <w:p>
      <w:pPr>
        <w:spacing w:line="480" w:lineRule="exact"/>
        <w:ind w:firstLine="560"/>
        <w:rPr>
          <w:rStyle w:val="12"/>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w:t>
      </w:r>
      <w:r>
        <w:rPr>
          <w:rFonts w:hint="eastAsia" w:asciiTheme="majorEastAsia" w:hAnsiTheme="majorEastAsia" w:eastAsiaTheme="majorEastAsia" w:cstheme="majorEastAsia"/>
          <w:b/>
          <w:bCs/>
          <w:color w:val="auto"/>
          <w:sz w:val="24"/>
          <w:szCs w:val="24"/>
          <w:highlight w:val="none"/>
        </w:rPr>
        <w:t>、投标文件递交的截止时间（</w:t>
      </w:r>
      <w:r>
        <w:rPr>
          <w:rFonts w:hint="eastAsia" w:asciiTheme="majorEastAsia" w:hAnsiTheme="majorEastAsia" w:eastAsiaTheme="majorEastAsia" w:cstheme="majorEastAsia"/>
          <w:b/>
          <w:bCs/>
          <w:color w:val="auto"/>
          <w:sz w:val="24"/>
          <w:szCs w:val="24"/>
          <w:highlight w:val="none"/>
        </w:rPr>
        <w:t>投标截止时间，下同）：2024年</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rPr>
        <w:t>月</w:t>
      </w:r>
      <w:r>
        <w:rPr>
          <w:rFonts w:hint="eastAsia" w:asciiTheme="majorEastAsia" w:hAnsiTheme="majorEastAsia" w:eastAsiaTheme="majorEastAsia" w:cstheme="majorEastAsia"/>
          <w:b/>
          <w:bCs/>
          <w:color w:val="auto"/>
          <w:sz w:val="24"/>
          <w:szCs w:val="24"/>
          <w:highlight w:val="none"/>
          <w:u w:val="single"/>
          <w:lang w:val="en-US" w:eastAsia="zh-CN"/>
        </w:rPr>
        <w:t>25</w:t>
      </w:r>
      <w:r>
        <w:rPr>
          <w:rFonts w:hint="eastAsia" w:asciiTheme="majorEastAsia" w:hAnsiTheme="majorEastAsia" w:eastAsiaTheme="majorEastAsia" w:cstheme="majorEastAsia"/>
          <w:b/>
          <w:bCs/>
          <w:color w:val="auto"/>
          <w:sz w:val="24"/>
          <w:szCs w:val="24"/>
          <w:highlight w:val="none"/>
        </w:rPr>
        <w:t>日10时</w:t>
      </w:r>
      <w:r>
        <w:rPr>
          <w:rFonts w:hint="eastAsia" w:asciiTheme="majorEastAsia" w:hAnsiTheme="majorEastAsia" w:eastAsiaTheme="majorEastAsia" w:cstheme="majorEastAsia"/>
          <w:b/>
          <w:bCs/>
          <w:color w:val="auto"/>
          <w:sz w:val="24"/>
          <w:szCs w:val="24"/>
          <w:highlight w:val="none"/>
        </w:rPr>
        <w:t>00</w:t>
      </w:r>
      <w:r>
        <w:rPr>
          <w:rFonts w:hint="eastAsia" w:asciiTheme="majorEastAsia" w:hAnsiTheme="majorEastAsia" w:eastAsiaTheme="majorEastAsia" w:cstheme="majorEastAsia"/>
          <w:b/>
          <w:bCs/>
          <w:color w:val="auto"/>
          <w:sz w:val="24"/>
          <w:szCs w:val="24"/>
          <w:highlight w:val="none"/>
        </w:rPr>
        <w:t>分（北京时间）</w:t>
      </w:r>
      <w:r>
        <w:rPr>
          <w:rFonts w:hint="eastAsia" w:asciiTheme="majorEastAsia" w:hAnsiTheme="majorEastAsia" w:eastAsiaTheme="majorEastAsia" w:cstheme="majorEastAsia"/>
          <w:color w:val="auto"/>
          <w:sz w:val="24"/>
          <w:szCs w:val="24"/>
          <w:highlight w:val="none"/>
        </w:rPr>
        <w:t>，投标文件递交地点为</w:t>
      </w:r>
      <w:r>
        <w:rPr>
          <w:rStyle w:val="12"/>
          <w:rFonts w:hint="eastAsia" w:asciiTheme="majorEastAsia" w:hAnsiTheme="majorEastAsia" w:eastAsiaTheme="majorEastAsia" w:cstheme="majorEastAsia"/>
          <w:color w:val="auto"/>
          <w:sz w:val="24"/>
          <w:szCs w:val="24"/>
          <w:highlight w:val="none"/>
        </w:rPr>
        <w:t>：江西省庐山市星子镇石材产业园蓼花池路江西天然石业有限公司办公楼三楼庐山市西牯岭新材料有限公司，收件人：范和冲17396245168。</w:t>
      </w:r>
    </w:p>
    <w:p>
      <w:pPr>
        <w:spacing w:line="40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2、逾期送达的或者未送达指定地点的投标文件，招标人不予受理。</w:t>
      </w:r>
    </w:p>
    <w:p>
      <w:pPr>
        <w:spacing w:line="40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3、投标截止时间及递交地点如有变动，招标人将及时以书面形式通知所有已购买招标文件的潜在投标人。</w:t>
      </w:r>
    </w:p>
    <w:p>
      <w:pPr>
        <w:spacing w:line="40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4、投标文件份数：正本1份，副本4份</w:t>
      </w:r>
      <w:r>
        <w:rPr>
          <w:rFonts w:hint="eastAsia" w:asciiTheme="majorEastAsia" w:hAnsiTheme="majorEastAsia" w:eastAsiaTheme="majorEastAsia" w:cstheme="majorEastAsia"/>
          <w:color w:val="auto"/>
          <w:sz w:val="24"/>
          <w:szCs w:val="24"/>
          <w:highlight w:val="none"/>
        </w:rPr>
        <w:t>，电子版1份（U盘存储）</w:t>
      </w:r>
      <w:r>
        <w:rPr>
          <w:rFonts w:hint="eastAsia" w:asciiTheme="majorEastAsia" w:hAnsiTheme="majorEastAsia" w:eastAsiaTheme="majorEastAsia" w:cstheme="majorEastAsia"/>
          <w:color w:val="auto"/>
          <w:sz w:val="24"/>
          <w:szCs w:val="24"/>
          <w:highlight w:val="none"/>
        </w:rPr>
        <w:t>。</w:t>
      </w:r>
    </w:p>
    <w:p>
      <w:pPr>
        <w:spacing w:line="400" w:lineRule="exact"/>
        <w:ind w:firstLine="482" w:firstLineChars="200"/>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bCs/>
          <w:color w:val="auto"/>
          <w:sz w:val="24"/>
          <w:szCs w:val="24"/>
          <w:highlight w:val="none"/>
        </w:rPr>
        <w:t>5、开标时间：同截标时间</w:t>
      </w:r>
      <w:r>
        <w:rPr>
          <w:rFonts w:hint="eastAsia" w:asciiTheme="majorEastAsia" w:hAnsiTheme="majorEastAsia" w:eastAsiaTheme="majorEastAsia" w:cstheme="majorEastAsia"/>
          <w:b/>
          <w:bCs/>
          <w:color w:val="auto"/>
          <w:sz w:val="24"/>
          <w:szCs w:val="24"/>
          <w:highlight w:val="none"/>
        </w:rPr>
        <w:t>2024年</w:t>
      </w:r>
      <w:r>
        <w:rPr>
          <w:rFonts w:hint="eastAsia" w:asciiTheme="majorEastAsia" w:hAnsiTheme="majorEastAsia" w:eastAsiaTheme="majorEastAsia" w:cstheme="majorEastAsia"/>
          <w:b/>
          <w:bCs/>
          <w:color w:val="auto"/>
          <w:sz w:val="24"/>
          <w:szCs w:val="24"/>
          <w:highlight w:val="none"/>
          <w:u w:val="single"/>
        </w:rPr>
        <w:t xml:space="preserve"> </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 xml:space="preserve">  </w:t>
      </w:r>
      <w:r>
        <w:rPr>
          <w:rFonts w:hint="eastAsia" w:asciiTheme="majorEastAsia" w:hAnsiTheme="majorEastAsia" w:eastAsiaTheme="majorEastAsia" w:cstheme="majorEastAsia"/>
          <w:b/>
          <w:bCs/>
          <w:color w:val="auto"/>
          <w:sz w:val="24"/>
          <w:szCs w:val="24"/>
          <w:highlight w:val="none"/>
        </w:rPr>
        <w:t>月</w:t>
      </w:r>
      <w:r>
        <w:rPr>
          <w:rFonts w:hint="eastAsia" w:asciiTheme="majorEastAsia" w:hAnsiTheme="majorEastAsia" w:eastAsiaTheme="majorEastAsia" w:cstheme="majorEastAsia"/>
          <w:b/>
          <w:bCs/>
          <w:color w:val="auto"/>
          <w:sz w:val="24"/>
          <w:szCs w:val="24"/>
          <w:highlight w:val="none"/>
          <w:u w:val="single"/>
        </w:rPr>
        <w:t xml:space="preserve"> </w:t>
      </w:r>
      <w:r>
        <w:rPr>
          <w:rFonts w:hint="eastAsia" w:asciiTheme="majorEastAsia" w:hAnsiTheme="majorEastAsia" w:eastAsiaTheme="majorEastAsia" w:cstheme="majorEastAsia"/>
          <w:b/>
          <w:bCs/>
          <w:color w:val="auto"/>
          <w:sz w:val="24"/>
          <w:szCs w:val="24"/>
          <w:highlight w:val="none"/>
          <w:u w:val="single"/>
          <w:lang w:val="en-US" w:eastAsia="zh-CN"/>
        </w:rPr>
        <w:t>25</w:t>
      </w:r>
      <w:r>
        <w:rPr>
          <w:rFonts w:hint="eastAsia" w:asciiTheme="majorEastAsia" w:hAnsiTheme="majorEastAsia" w:eastAsiaTheme="majorEastAsia" w:cstheme="majorEastAsia"/>
          <w:b/>
          <w:bCs/>
          <w:color w:val="auto"/>
          <w:sz w:val="24"/>
          <w:szCs w:val="24"/>
          <w:highlight w:val="none"/>
          <w:u w:val="single"/>
        </w:rPr>
        <w:t xml:space="preserve">  </w:t>
      </w:r>
      <w:r>
        <w:rPr>
          <w:rFonts w:hint="eastAsia" w:asciiTheme="majorEastAsia" w:hAnsiTheme="majorEastAsia" w:eastAsiaTheme="majorEastAsia" w:cstheme="majorEastAsia"/>
          <w:b/>
          <w:bCs/>
          <w:color w:val="auto"/>
          <w:sz w:val="24"/>
          <w:szCs w:val="24"/>
          <w:highlight w:val="none"/>
        </w:rPr>
        <w:t>日10时</w:t>
      </w:r>
      <w:r>
        <w:rPr>
          <w:rFonts w:hint="eastAsia" w:asciiTheme="majorEastAsia" w:hAnsiTheme="majorEastAsia" w:eastAsiaTheme="majorEastAsia" w:cstheme="majorEastAsia"/>
          <w:b/>
          <w:bCs/>
          <w:color w:val="auto"/>
          <w:sz w:val="24"/>
          <w:szCs w:val="24"/>
          <w:highlight w:val="none"/>
        </w:rPr>
        <w:t>00</w:t>
      </w:r>
      <w:r>
        <w:rPr>
          <w:rFonts w:hint="eastAsia" w:asciiTheme="majorEastAsia" w:hAnsiTheme="majorEastAsia" w:eastAsiaTheme="majorEastAsia" w:cstheme="majorEastAsia"/>
          <w:b/>
          <w:bCs/>
          <w:color w:val="auto"/>
          <w:sz w:val="24"/>
          <w:szCs w:val="24"/>
          <w:highlight w:val="none"/>
        </w:rPr>
        <w:t>分（北京时间）</w:t>
      </w:r>
      <w:r>
        <w:rPr>
          <w:rFonts w:hint="eastAsia" w:asciiTheme="majorEastAsia" w:hAnsiTheme="majorEastAsia" w:eastAsiaTheme="majorEastAsia" w:cstheme="majorEastAsia"/>
          <w:color w:val="auto"/>
          <w:sz w:val="24"/>
          <w:szCs w:val="24"/>
          <w:highlight w:val="none"/>
        </w:rPr>
        <w:t>。</w:t>
      </w:r>
    </w:p>
    <w:p>
      <w:pPr>
        <w:spacing w:before="156" w:beforeLines="50" w:line="520" w:lineRule="exact"/>
        <w:jc w:val="left"/>
        <w:rPr>
          <w:rFonts w:hint="eastAsia" w:asciiTheme="majorEastAsia" w:hAnsiTheme="majorEastAsia" w:eastAsiaTheme="majorEastAsia" w:cstheme="majorEastAsia"/>
          <w:color w:val="auto"/>
          <w:sz w:val="24"/>
          <w:szCs w:val="24"/>
          <w:highlight w:val="none"/>
        </w:rPr>
      </w:pPr>
      <w:bookmarkStart w:id="17" w:name="_Toc31306"/>
      <w:bookmarkStart w:id="18" w:name="_Toc241902815"/>
      <w:bookmarkStart w:id="19" w:name="_Toc241901986"/>
      <w:r>
        <w:rPr>
          <w:rFonts w:hint="eastAsia" w:asciiTheme="majorEastAsia" w:hAnsiTheme="majorEastAsia" w:eastAsiaTheme="majorEastAsia" w:cstheme="majorEastAsia"/>
          <w:b/>
          <w:color w:val="auto"/>
          <w:sz w:val="24"/>
          <w:szCs w:val="24"/>
          <w:highlight w:val="none"/>
        </w:rPr>
        <w:t>六、发布公告的媒介</w:t>
      </w:r>
      <w:bookmarkEnd w:id="17"/>
      <w:bookmarkEnd w:id="18"/>
      <w:bookmarkEnd w:id="19"/>
      <w:r>
        <w:rPr>
          <w:rFonts w:hint="eastAsia" w:asciiTheme="majorEastAsia" w:hAnsiTheme="majorEastAsia" w:eastAsiaTheme="majorEastAsia" w:cstheme="majorEastAsia"/>
          <w:b/>
          <w:color w:val="auto"/>
          <w:sz w:val="24"/>
          <w:szCs w:val="24"/>
          <w:highlight w:val="none"/>
        </w:rPr>
        <w:t>：</w:t>
      </w:r>
      <w:bookmarkStart w:id="20" w:name="_Toc241901987"/>
      <w:bookmarkStart w:id="21" w:name="_Toc241902816"/>
      <w:bookmarkStart w:id="22" w:name="_Toc26022"/>
      <w:r>
        <w:rPr>
          <w:rFonts w:hint="eastAsia" w:asciiTheme="majorEastAsia" w:hAnsiTheme="majorEastAsia" w:eastAsiaTheme="majorEastAsia" w:cstheme="majorEastAsia"/>
          <w:color w:val="auto"/>
          <w:sz w:val="24"/>
          <w:szCs w:val="24"/>
          <w:highlight w:val="none"/>
        </w:rPr>
        <w:t>公开招标，http://www.itg.com.cn国贸网站、中国采购与招标网 （https://chinabidding.com.cn）上发布公告</w:t>
      </w:r>
      <w:r>
        <w:rPr>
          <w:rFonts w:hint="eastAsia" w:asciiTheme="majorEastAsia" w:hAnsiTheme="majorEastAsia" w:eastAsiaTheme="majorEastAsia" w:cstheme="majorEastAsia"/>
          <w:color w:val="auto"/>
          <w:sz w:val="24"/>
          <w:szCs w:val="24"/>
          <w:highlight w:val="none"/>
        </w:rPr>
        <w:t>。</w:t>
      </w:r>
    </w:p>
    <w:p>
      <w:pPr>
        <w:pStyle w:val="3"/>
        <w:numPr>
          <w:ilvl w:val="0"/>
          <w:numId w:val="0"/>
        </w:numPr>
        <w:spacing w:before="0" w:after="0"/>
        <w:rPr>
          <w:rFonts w:hint="eastAsia" w:asciiTheme="majorEastAsia" w:hAnsiTheme="majorEastAsia" w:eastAsiaTheme="majorEastAsia" w:cstheme="majorEastAsia"/>
          <w:b/>
          <w:i w:val="0"/>
          <w:color w:val="auto"/>
          <w:sz w:val="24"/>
          <w:szCs w:val="24"/>
          <w:highlight w:val="none"/>
        </w:rPr>
      </w:pPr>
      <w:r>
        <w:rPr>
          <w:rFonts w:hint="eastAsia" w:asciiTheme="majorEastAsia" w:hAnsiTheme="majorEastAsia" w:eastAsiaTheme="majorEastAsia" w:cstheme="majorEastAsia"/>
          <w:b/>
          <w:i w:val="0"/>
          <w:color w:val="auto"/>
          <w:sz w:val="24"/>
          <w:szCs w:val="24"/>
          <w:highlight w:val="none"/>
        </w:rPr>
        <w:t>七、联系方式</w:t>
      </w:r>
      <w:bookmarkEnd w:id="20"/>
      <w:bookmarkEnd w:id="21"/>
      <w:bookmarkEnd w:id="22"/>
    </w:p>
    <w:p>
      <w:pPr>
        <w:spacing w:line="40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1、招标人：庐山市西牯岭新材料有限公司</w:t>
      </w:r>
    </w:p>
    <w:p>
      <w:pPr>
        <w:spacing w:line="480" w:lineRule="exact"/>
        <w:ind w:firstLine="560"/>
        <w:rPr>
          <w:rStyle w:val="12"/>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地  址：江西省庐山市星子镇石材产业园蓼花池路江西天然石业有限公司办公楼三庐山市西牯岭新材料有限公司  </w:t>
      </w:r>
      <w:r>
        <w:rPr>
          <w:rStyle w:val="12"/>
          <w:rFonts w:hint="eastAsia" w:asciiTheme="majorEastAsia" w:hAnsiTheme="majorEastAsia" w:eastAsiaTheme="majorEastAsia" w:cstheme="majorEastAsia"/>
          <w:color w:val="auto"/>
          <w:sz w:val="24"/>
          <w:szCs w:val="24"/>
          <w:highlight w:val="none"/>
        </w:rPr>
        <w:t>工作联系人：陈莉  电话：18379600588</w:t>
      </w:r>
    </w:p>
    <w:p>
      <w:pPr>
        <w:spacing w:line="480" w:lineRule="exact"/>
        <w:ind w:firstLine="480" w:firstLineChars="200"/>
        <w:rPr>
          <w:rFonts w:hint="eastAsia" w:asciiTheme="majorEastAsia" w:hAnsiTheme="majorEastAsia" w:eastAsiaTheme="majorEastAsia" w:cstheme="majorEastAsia"/>
          <w:color w:val="auto"/>
          <w:sz w:val="24"/>
          <w:szCs w:val="24"/>
          <w:highlight w:val="none"/>
        </w:rPr>
      </w:pPr>
      <w:r>
        <w:rPr>
          <w:rStyle w:val="12"/>
          <w:rFonts w:hint="eastAsia" w:asciiTheme="majorEastAsia" w:hAnsiTheme="majorEastAsia" w:eastAsiaTheme="majorEastAsia" w:cstheme="majorEastAsia"/>
          <w:color w:val="auto"/>
          <w:sz w:val="24"/>
          <w:szCs w:val="24"/>
          <w:highlight w:val="none"/>
        </w:rPr>
        <w:t>2、招标</w:t>
      </w:r>
      <w:r>
        <w:rPr>
          <w:rFonts w:hint="eastAsia" w:asciiTheme="majorEastAsia" w:hAnsiTheme="majorEastAsia" w:eastAsiaTheme="majorEastAsia" w:cstheme="majorEastAsia"/>
          <w:color w:val="auto"/>
          <w:sz w:val="24"/>
          <w:szCs w:val="24"/>
          <w:highlight w:val="none"/>
        </w:rPr>
        <w:t>代理机构： 中通服供应链股份有限公司</w:t>
      </w:r>
    </w:p>
    <w:p>
      <w:pPr>
        <w:widowControl/>
        <w:tabs>
          <w:tab w:val="left" w:pos="1380"/>
          <w:tab w:val="left" w:pos="1800"/>
        </w:tabs>
        <w:spacing w:line="38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联系人:熊可欣   电话:18779118413</w:t>
      </w:r>
    </w:p>
    <w:p>
      <w:pPr>
        <w:widowControl/>
        <w:tabs>
          <w:tab w:val="left" w:pos="1380"/>
          <w:tab w:val="left" w:pos="1800"/>
        </w:tabs>
        <w:spacing w:line="38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帐户名称：中通服供应链股份有限公司江西分公司</w:t>
      </w:r>
    </w:p>
    <w:p>
      <w:pPr>
        <w:widowControl/>
        <w:tabs>
          <w:tab w:val="left" w:pos="1380"/>
          <w:tab w:val="left" w:pos="1800"/>
        </w:tabs>
        <w:spacing w:line="38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开户银行：中信银行广州珠江新城支行               </w:t>
      </w:r>
    </w:p>
    <w:p>
      <w:pPr>
        <w:widowControl/>
        <w:tabs>
          <w:tab w:val="left" w:pos="1380"/>
          <w:tab w:val="left" w:pos="1800"/>
        </w:tabs>
        <w:spacing w:line="380" w:lineRule="exact"/>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银行账号：3110930015700006623</w:t>
      </w:r>
    </w:p>
    <w:p>
      <w:pPr>
        <w:spacing w:line="500" w:lineRule="exact"/>
        <w:ind w:firstLine="480" w:firstLineChars="200"/>
        <w:rPr>
          <w:rFonts w:hint="eastAsia" w:asciiTheme="majorEastAsia" w:hAnsiTheme="majorEastAsia" w:eastAsiaTheme="majorEastAsia" w:cstheme="majorEastAsia"/>
          <w:color w:val="auto"/>
          <w:sz w:val="24"/>
          <w:szCs w:val="24"/>
          <w:highlight w:val="none"/>
          <w:u w:val="single"/>
        </w:rPr>
      </w:pPr>
    </w:p>
    <w:p>
      <w:pPr>
        <w:spacing w:line="500" w:lineRule="exact"/>
        <w:ind w:firstLine="480" w:firstLineChars="200"/>
        <w:rPr>
          <w:rFonts w:hint="eastAsia" w:asciiTheme="majorEastAsia" w:hAnsiTheme="majorEastAsia" w:eastAsiaTheme="majorEastAsia" w:cstheme="majorEastAsia"/>
          <w:color w:val="auto"/>
          <w:sz w:val="24"/>
          <w:szCs w:val="24"/>
          <w:highlight w:val="none"/>
          <w:u w:val="single"/>
        </w:rPr>
      </w:pPr>
    </w:p>
    <w:p>
      <w:pPr>
        <w:spacing w:line="500" w:lineRule="exact"/>
        <w:ind w:firstLine="480" w:firstLineChars="200"/>
        <w:rPr>
          <w:rFonts w:hint="eastAsia" w:asciiTheme="majorEastAsia" w:hAnsiTheme="majorEastAsia" w:eastAsiaTheme="majorEastAsia" w:cstheme="majorEastAsia"/>
          <w:color w:val="auto"/>
          <w:sz w:val="24"/>
          <w:szCs w:val="24"/>
          <w:highlight w:val="none"/>
          <w:u w:val="single"/>
        </w:rPr>
      </w:pPr>
    </w:p>
    <w:p>
      <w:pPr>
        <w:spacing w:line="360" w:lineRule="auto"/>
        <w:jc w:val="righ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庐山市西牯岭新材料有限公司</w:t>
      </w:r>
    </w:p>
    <w:p>
      <w:pPr>
        <w:pStyle w:val="8"/>
        <w:ind w:firstLine="0" w:firstLineChars="0"/>
        <w:rPr>
          <w:rFonts w:hint="eastAsia" w:asciiTheme="majorEastAsia" w:hAnsiTheme="majorEastAsia" w:eastAsiaTheme="majorEastAsia" w:cstheme="majorEastAsia"/>
          <w:color w:val="auto"/>
          <w:sz w:val="24"/>
          <w:szCs w:val="24"/>
          <w:highlight w:val="none"/>
        </w:rPr>
      </w:pPr>
    </w:p>
    <w:p>
      <w:pPr>
        <w:spacing w:line="360" w:lineRule="auto"/>
        <w:ind w:firstLine="6480" w:firstLineChars="27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2024年</w:t>
      </w:r>
      <w:r>
        <w:rPr>
          <w:rFonts w:hint="eastAsia" w:asciiTheme="majorEastAsia" w:hAnsiTheme="majorEastAsia" w:eastAsiaTheme="majorEastAsia" w:cstheme="majorEastAsia"/>
          <w:color w:val="auto"/>
          <w:sz w:val="24"/>
          <w:szCs w:val="24"/>
          <w:highlight w:val="none"/>
          <w:lang w:val="en-US" w:eastAsia="zh-CN"/>
        </w:rPr>
        <w:t>6</w:t>
      </w:r>
      <w:r>
        <w:rPr>
          <w:rFonts w:hint="eastAsia" w:asciiTheme="majorEastAsia" w:hAnsiTheme="majorEastAsia" w:eastAsiaTheme="majorEastAsia" w:cstheme="majorEastAsia"/>
          <w:color w:val="auto"/>
          <w:sz w:val="24"/>
          <w:szCs w:val="24"/>
          <w:highlight w:val="none"/>
        </w:rPr>
        <w:t>月</w:t>
      </w: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日</w:t>
      </w:r>
    </w:p>
    <w:bookmarkEnd w:id="2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vantGarde CondBook">
    <w:altName w:val="Times New Roman"/>
    <w:panose1 w:val="00000000000000000000"/>
    <w:charset w:val="00"/>
    <w:family w:val="auto"/>
    <w:pitch w:val="default"/>
    <w:sig w:usb0="00000000" w:usb1="00000000" w:usb2="00000000" w:usb3="00000000" w:csb0="00000009" w:csb1="00000000"/>
  </w:font>
  <w:font w:name="Impact">
    <w:panose1 w:val="020B080603090205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fldChar w:fldCharType="begin"/>
                          </w:r>
                          <w:r>
                            <w:instrText xml:space="preserve">PAGE   \* MERGEFORMAT</w:instrText>
                          </w:r>
                          <w:r>
                            <w:fldChar w:fldCharType="separate"/>
                          </w:r>
                          <w:r>
                            <w:rPr>
                              <w:lang w:val="zh-CN"/>
                            </w:rPr>
                            <w:t>4</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4</w:t>
                    </w:r>
                    <w:r>
                      <w:rPr>
                        <w:lang w:val="zh-CN"/>
                      </w:rPr>
                      <w:fldChar w:fldCharType="end"/>
                    </w:r>
                  </w:p>
                </w:txbxContent>
              </v:textbox>
            </v:shape>
          </w:pict>
        </mc:Fallback>
      </mc:AlternateContent>
    </w:r>
  </w:p>
  <w:p>
    <w:pPr>
      <w:pStyle w:val="7"/>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65D89"/>
    <w:multiLevelType w:val="multilevel"/>
    <w:tmpl w:val="59765D89"/>
    <w:lvl w:ilvl="0" w:tentative="0">
      <w:start w:val="1"/>
      <w:numFmt w:val="decimal"/>
      <w:lvlText w:val="%1."/>
      <w:lvlJc w:val="left"/>
      <w:pPr>
        <w:tabs>
          <w:tab w:val="left" w:pos="425"/>
        </w:tabs>
        <w:ind w:left="425" w:hanging="425"/>
      </w:pPr>
      <w:rPr>
        <w:rFonts w:hint="default" w:ascii="AvantGarde CondBook" w:hAnsi="Impact"/>
        <w:b w:val="0"/>
        <w:i w:val="0"/>
        <w:sz w:val="32"/>
      </w:rPr>
    </w:lvl>
    <w:lvl w:ilvl="1" w:tentative="0">
      <w:start w:val="1"/>
      <w:numFmt w:val="decimal"/>
      <w:pStyle w:val="3"/>
      <w:lvlText w:val="%1.%2"/>
      <w:lvlJc w:val="left"/>
      <w:pPr>
        <w:tabs>
          <w:tab w:val="left" w:pos="576"/>
        </w:tabs>
        <w:ind w:left="576" w:hanging="576"/>
      </w:pPr>
      <w:rPr>
        <w:rFonts w:hint="default" w:ascii="AvantGarde CondBook" w:hAnsi="AvantGarde CondBook"/>
        <w:b w:val="0"/>
        <w:i w:val="0"/>
        <w:sz w:val="28"/>
      </w:rPr>
    </w:lvl>
    <w:lvl w:ilvl="2" w:tentative="0">
      <w:start w:val="1"/>
      <w:numFmt w:val="decimal"/>
      <w:lvlText w:val="%1.%2.%3"/>
      <w:lvlJc w:val="left"/>
      <w:pPr>
        <w:tabs>
          <w:tab w:val="left" w:pos="720"/>
        </w:tabs>
        <w:ind w:left="720" w:hanging="720"/>
      </w:pPr>
      <w:rPr>
        <w:rFonts w:hint="default" w:ascii="AvantGarde CondBook" w:hAnsi="AvantGarde CondBook"/>
        <w:b w:val="0"/>
        <w:i w:val="0"/>
        <w:sz w:val="28"/>
      </w:rPr>
    </w:lvl>
    <w:lvl w:ilvl="3" w:tentative="0">
      <w:start w:val="1"/>
      <w:numFmt w:val="decimal"/>
      <w:lvlText w:val="%1.%2.%3.%4"/>
      <w:lvlJc w:val="left"/>
      <w:pPr>
        <w:tabs>
          <w:tab w:val="left" w:pos="864"/>
        </w:tabs>
        <w:ind w:left="864" w:hanging="864"/>
      </w:pPr>
      <w:rPr>
        <w:rFonts w:hint="eastAsia"/>
        <w:b w:val="0"/>
        <w:i w:val="0"/>
        <w:sz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ZWZiZTM1NjE3NjI4ZWQyYWRkOGJhNmM3MWRjOGUifQ=="/>
  </w:docVars>
  <w:rsids>
    <w:rsidRoot w:val="00000000"/>
    <w:rsid w:val="00CA2F74"/>
    <w:rsid w:val="01E7687A"/>
    <w:rsid w:val="04A62A1C"/>
    <w:rsid w:val="11A6405B"/>
    <w:rsid w:val="24B14D99"/>
    <w:rsid w:val="252E0198"/>
    <w:rsid w:val="27DC037F"/>
    <w:rsid w:val="30100363"/>
    <w:rsid w:val="43301127"/>
    <w:rsid w:val="46F030A7"/>
    <w:rsid w:val="48EC0B87"/>
    <w:rsid w:val="55691D8B"/>
    <w:rsid w:val="7BD16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numPr>
        <w:ilvl w:val="1"/>
        <w:numId w:val="1"/>
      </w:numPr>
      <w:tabs>
        <w:tab w:val="left" w:pos="425"/>
      </w:tabs>
      <w:spacing w:before="240" w:after="120"/>
      <w:outlineLvl w:val="1"/>
    </w:pPr>
    <w:rPr>
      <w:i/>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Body Text Indent"/>
    <w:basedOn w:val="1"/>
    <w:unhideWhenUsed/>
    <w:qFormat/>
    <w:uiPriority w:val="0"/>
    <w:pPr>
      <w:widowControl/>
      <w:spacing w:before="100" w:beforeAutospacing="1" w:after="100" w:afterAutospacing="1"/>
      <w:jc w:val="left"/>
    </w:pPr>
    <w:rPr>
      <w:rFonts w:ascii="宋体" w:hAnsi="宋体" w:eastAsia="仿宋" w:cs="Times New Roman"/>
      <w:kern w:val="0"/>
      <w:szCs w:val="24"/>
    </w:rPr>
  </w:style>
  <w:style w:type="paragraph" w:styleId="6">
    <w:name w:val="Plain Text"/>
    <w:basedOn w:val="1"/>
    <w:qFormat/>
    <w:uiPriority w:val="99"/>
    <w:rPr>
      <w:rFonts w:ascii="Courier New" w:hAnsi="Courier New"/>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Body Text First Indent"/>
    <w:basedOn w:val="4"/>
    <w:unhideWhenUsed/>
    <w:qFormat/>
    <w:uiPriority w:val="99"/>
    <w:pPr>
      <w:ind w:firstLine="420" w:firstLineChars="100"/>
    </w:pPr>
  </w:style>
  <w:style w:type="paragraph" w:customStyle="1" w:styleId="11">
    <w:name w:val="正文缩2"/>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12">
    <w:name w:val="NormalCharacter"/>
    <w:link w:val="13"/>
    <w:qFormat/>
    <w:uiPriority w:val="0"/>
    <w:rPr>
      <w:rFonts w:ascii="Times New Roman" w:hAnsi="Times New Roman" w:eastAsia="宋体" w:cs="Times New Roman"/>
      <w:kern w:val="0"/>
      <w:sz w:val="20"/>
      <w:szCs w:val="20"/>
    </w:rPr>
  </w:style>
  <w:style w:type="paragraph" w:customStyle="1" w:styleId="13">
    <w:name w:val="UserStyle_47"/>
    <w:basedOn w:val="1"/>
    <w:link w:val="12"/>
    <w:qFormat/>
    <w:uiPriority w:val="0"/>
    <w:pPr>
      <w:widowControl/>
      <w:spacing w:after="160" w:line="240" w:lineRule="exact"/>
      <w:jc w:val="left"/>
      <w:textAlignment w:val="baseline"/>
    </w:pPr>
    <w:rPr>
      <w:rFonts w:ascii="Times New Roman" w:hAnsi="Times New Roman" w:eastAsia="宋体" w:cs="Times New Roman"/>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2024-05-30T05:56:00Z</dcterms:created>
  <dc:creator>lily</dc:creator>
  <cp:lastModifiedBy>嗯</cp:lastModifiedBy>
  <dcterms:modified xsi:type="dcterms:W3CDTF">2024-06-03T02:54:47Z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AD3B074BC5F24F969A8DBE431998B20A_12</vt:lpwstr>
  </property>
</Properties>
</file>