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inorEastAsia" w:hAnsiTheme="minorEastAsia" w:eastAsiaTheme="minorEastAsia"/>
          <w:sz w:val="30"/>
          <w:szCs w:val="30"/>
        </w:rPr>
      </w:pPr>
    </w:p>
    <w:p>
      <w:pPr>
        <w:rPr>
          <w:sz w:val="24"/>
          <w:szCs w:val="28"/>
        </w:rPr>
      </w:pPr>
    </w:p>
    <w:p>
      <w:pPr>
        <w:pStyle w:val="11"/>
        <w:jc w:val="center"/>
        <w:rPr>
          <w:b/>
          <w:bCs/>
          <w:sz w:val="32"/>
          <w:szCs w:val="28"/>
        </w:rPr>
      </w:pPr>
      <w:r>
        <w:rPr>
          <w:rFonts w:hint="eastAsia"/>
          <w:b/>
          <w:bCs/>
          <w:sz w:val="32"/>
          <w:szCs w:val="28"/>
        </w:rPr>
        <w:t>《</w:t>
      </w:r>
      <w:bookmarkStart w:id="0" w:name="_Hlk139474880"/>
      <w:r>
        <w:rPr>
          <w:rFonts w:hint="eastAsia"/>
          <w:b/>
          <w:bCs/>
          <w:sz w:val="32"/>
          <w:szCs w:val="28"/>
        </w:rPr>
        <w:t>“嘉庚号”科考船智能低碳港口船舶岸电系统采购项目</w:t>
      </w:r>
      <w:bookmarkEnd w:id="0"/>
      <w:r>
        <w:rPr>
          <w:rFonts w:hint="eastAsia"/>
          <w:b/>
          <w:bCs/>
          <w:sz w:val="32"/>
          <w:szCs w:val="28"/>
        </w:rPr>
        <w:t>》</w:t>
      </w:r>
    </w:p>
    <w:p>
      <w:pPr>
        <w:pStyle w:val="11"/>
        <w:jc w:val="center"/>
        <w:rPr>
          <w:b/>
          <w:bCs/>
          <w:sz w:val="40"/>
          <w:szCs w:val="40"/>
        </w:rPr>
      </w:pPr>
    </w:p>
    <w:p>
      <w:pPr>
        <w:pStyle w:val="11"/>
        <w:jc w:val="center"/>
        <w:rPr>
          <w:b/>
          <w:bCs/>
          <w:sz w:val="40"/>
          <w:szCs w:val="40"/>
        </w:rPr>
      </w:pPr>
    </w:p>
    <w:p>
      <w:pPr>
        <w:pStyle w:val="11"/>
        <w:jc w:val="center"/>
        <w:rPr>
          <w:b/>
          <w:bCs/>
          <w:sz w:val="40"/>
          <w:szCs w:val="40"/>
        </w:rPr>
      </w:pPr>
    </w:p>
    <w:p>
      <w:pPr>
        <w:pStyle w:val="11"/>
        <w:jc w:val="center"/>
        <w:rPr>
          <w:b/>
          <w:bCs/>
          <w:sz w:val="40"/>
          <w:szCs w:val="40"/>
        </w:rPr>
      </w:pPr>
    </w:p>
    <w:p>
      <w:pPr>
        <w:pStyle w:val="11"/>
        <w:jc w:val="center"/>
        <w:rPr>
          <w:b/>
          <w:bCs/>
          <w:sz w:val="40"/>
          <w:szCs w:val="40"/>
        </w:rPr>
      </w:pPr>
    </w:p>
    <w:p>
      <w:pPr>
        <w:pStyle w:val="11"/>
        <w:jc w:val="center"/>
        <w:rPr>
          <w:b/>
          <w:bCs/>
          <w:sz w:val="40"/>
          <w:szCs w:val="40"/>
        </w:rPr>
      </w:pPr>
    </w:p>
    <w:p>
      <w:pPr>
        <w:pStyle w:val="11"/>
        <w:jc w:val="center"/>
        <w:rPr>
          <w:b/>
          <w:bCs/>
          <w:sz w:val="40"/>
          <w:szCs w:val="40"/>
        </w:rPr>
      </w:pPr>
    </w:p>
    <w:p>
      <w:pPr>
        <w:pStyle w:val="11"/>
        <w:jc w:val="center"/>
        <w:rPr>
          <w:b/>
          <w:bCs/>
          <w:sz w:val="40"/>
          <w:szCs w:val="40"/>
        </w:rPr>
      </w:pPr>
      <w:r>
        <w:rPr>
          <w:rFonts w:hint="eastAsia"/>
          <w:b/>
          <w:bCs/>
          <w:sz w:val="40"/>
          <w:szCs w:val="40"/>
        </w:rPr>
        <w:t>招标文件</w:t>
      </w: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
          <w:bCs/>
          <w:sz w:val="32"/>
          <w:szCs w:val="28"/>
          <w:lang w:val="zh-CN"/>
        </w:rPr>
      </w:pPr>
    </w:p>
    <w:p>
      <w:pPr>
        <w:pStyle w:val="11"/>
        <w:jc w:val="center"/>
        <w:rPr>
          <w:bCs/>
          <w:sz w:val="40"/>
          <w:szCs w:val="40"/>
        </w:rPr>
      </w:pPr>
      <w:r>
        <w:rPr>
          <w:rFonts w:hint="eastAsia"/>
          <w:b/>
          <w:bCs/>
          <w:sz w:val="40"/>
          <w:szCs w:val="40"/>
        </w:rPr>
        <w:t>（编号</w:t>
      </w:r>
      <w:r>
        <w:rPr>
          <w:b/>
          <w:bCs/>
          <w:sz w:val="40"/>
          <w:szCs w:val="40"/>
        </w:rPr>
        <w:t>：QRLT</w:t>
      </w:r>
      <w:r>
        <w:rPr>
          <w:rFonts w:hint="eastAsia"/>
          <w:b/>
          <w:bCs/>
          <w:sz w:val="40"/>
          <w:szCs w:val="40"/>
        </w:rPr>
        <w:t>-IT-2023072</w:t>
      </w:r>
      <w:r>
        <w:rPr>
          <w:b/>
          <w:bCs/>
          <w:sz w:val="40"/>
          <w:szCs w:val="40"/>
          <w:lang w:eastAsia="zh-Hans"/>
        </w:rPr>
        <w:t>0</w:t>
      </w:r>
      <w:r>
        <w:rPr>
          <w:b/>
          <w:bCs/>
          <w:sz w:val="40"/>
          <w:szCs w:val="40"/>
        </w:rPr>
        <w:t>）</w:t>
      </w:r>
      <w:r>
        <w:rPr>
          <w:bCs/>
          <w:sz w:val="40"/>
          <w:szCs w:val="40"/>
        </w:rPr>
        <w:br w:type="page"/>
      </w:r>
    </w:p>
    <w:p>
      <w:pPr>
        <w:pStyle w:val="3"/>
        <w:jc w:val="center"/>
        <w:rPr>
          <w:rFonts w:cs="宋体" w:asciiTheme="minorEastAsia" w:hAnsiTheme="minorEastAsia" w:eastAsiaTheme="minorEastAsia"/>
          <w:b/>
          <w:bCs w:val="0"/>
          <w:sz w:val="30"/>
          <w:szCs w:val="30"/>
        </w:rPr>
      </w:pPr>
      <w:bookmarkStart w:id="1" w:name="_Toc227124854"/>
      <w:r>
        <w:rPr>
          <w:rFonts w:hint="eastAsia" w:cs="宋体" w:asciiTheme="minorEastAsia" w:hAnsiTheme="minorEastAsia" w:eastAsiaTheme="minorEastAsia"/>
          <w:b/>
          <w:bCs w:val="0"/>
          <w:sz w:val="30"/>
          <w:szCs w:val="30"/>
        </w:rPr>
        <w:t>第一章　</w:t>
      </w:r>
      <w:bookmarkEnd w:id="1"/>
      <w:r>
        <w:rPr>
          <w:rFonts w:hint="eastAsia" w:cs="宋体" w:asciiTheme="minorEastAsia" w:hAnsiTheme="minorEastAsia" w:eastAsiaTheme="minorEastAsia"/>
          <w:b/>
          <w:bCs w:val="0"/>
          <w:sz w:val="30"/>
          <w:szCs w:val="30"/>
        </w:rPr>
        <w:t>投</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标</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须</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知</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项目概况</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1.1 招标人：厦门</w:t>
      </w:r>
      <w:r>
        <w:rPr>
          <w:rFonts w:hint="eastAsia" w:cs="宋体" w:asciiTheme="minorEastAsia" w:hAnsiTheme="minorEastAsia" w:eastAsiaTheme="minorEastAsia"/>
          <w:b w:val="0"/>
          <w:sz w:val="24"/>
          <w:szCs w:val="24"/>
          <w:lang w:eastAsia="zh-Hans"/>
        </w:rPr>
        <w:t>启润零碳</w:t>
      </w:r>
      <w:r>
        <w:rPr>
          <w:rFonts w:hint="eastAsia" w:cs="宋体" w:asciiTheme="minorEastAsia" w:hAnsiTheme="minorEastAsia" w:eastAsiaTheme="minorEastAsia"/>
          <w:b w:val="0"/>
          <w:sz w:val="24"/>
          <w:szCs w:val="24"/>
        </w:rPr>
        <w:t>数字科技有限</w:t>
      </w:r>
      <w:r>
        <w:rPr>
          <w:rFonts w:cs="宋体" w:asciiTheme="minorEastAsia" w:hAnsiTheme="minorEastAsia" w:eastAsiaTheme="minorEastAsia"/>
          <w:b w:val="0"/>
          <w:sz w:val="24"/>
          <w:szCs w:val="24"/>
        </w:rPr>
        <w:t>公司</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1.2 招标人地址：</w:t>
      </w:r>
      <w:r>
        <w:rPr>
          <w:rFonts w:hint="eastAsia" w:cs="宋体" w:asciiTheme="minorEastAsia" w:hAnsiTheme="minorEastAsia" w:eastAsiaTheme="minorEastAsia"/>
          <w:b w:val="0"/>
          <w:sz w:val="24"/>
          <w:szCs w:val="24"/>
        </w:rPr>
        <w:t>中国（福建）自由贸易试验区厦门片区象屿路93号厦门国际航运中心C栋4层431单元H</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1.3 招标项目名称：</w:t>
      </w:r>
      <w:r>
        <w:rPr>
          <w:rFonts w:hint="eastAsia" w:cs="宋体" w:asciiTheme="minorEastAsia" w:hAnsiTheme="minorEastAsia" w:eastAsiaTheme="minorEastAsia"/>
          <w:b w:val="0"/>
          <w:sz w:val="24"/>
          <w:szCs w:val="24"/>
        </w:rPr>
        <w:t>“嘉庚号”科考船智能低碳港口船舶岸电系统采购项目</w:t>
      </w:r>
    </w:p>
    <w:p>
      <w:pPr>
        <w:spacing w:line="360" w:lineRule="auto"/>
        <w:ind w:firstLine="420"/>
        <w:rPr>
          <w:rFonts w:ascii="Times New Roman" w:hAnsi="Times New Roman"/>
          <w:color w:val="000000" w:themeColor="text1"/>
          <w:sz w:val="24"/>
          <w:szCs w:val="24"/>
          <w14:textFill>
            <w14:solidFill>
              <w14:schemeClr w14:val="tx1"/>
            </w14:solidFill>
          </w14:textFill>
        </w:rPr>
      </w:pPr>
      <w:r>
        <w:rPr>
          <w:rFonts w:cs="宋体" w:asciiTheme="minorEastAsia" w:hAnsiTheme="minorEastAsia" w:eastAsiaTheme="minorEastAsia"/>
          <w:sz w:val="24"/>
          <w:szCs w:val="24"/>
        </w:rPr>
        <w:t xml:space="preserve">1.4 </w:t>
      </w:r>
      <w:r>
        <w:rPr>
          <w:rFonts w:hint="eastAsia" w:cs="宋体" w:asciiTheme="minorEastAsia" w:hAnsiTheme="minorEastAsia" w:eastAsiaTheme="minorEastAsia"/>
          <w:sz w:val="24"/>
          <w:szCs w:val="24"/>
        </w:rPr>
        <w:t>招标项目内容：</w:t>
      </w:r>
      <w:bookmarkStart w:id="2" w:name="_Hlk139705730"/>
      <w:r>
        <w:rPr>
          <w:rFonts w:hint="eastAsia" w:ascii="Times New Roman" w:hAnsi="Times New Roman"/>
          <w:color w:val="000000" w:themeColor="text1"/>
          <w:sz w:val="24"/>
          <w:szCs w:val="24"/>
          <w14:textFill>
            <w14:solidFill>
              <w14:schemeClr w14:val="tx1"/>
            </w14:solidFill>
          </w14:textFill>
        </w:rPr>
        <w:t>为</w:t>
      </w:r>
      <w:r>
        <w:rPr>
          <w:rFonts w:ascii="Times New Roman" w:hAnsi="Times New Roman"/>
          <w:color w:val="000000" w:themeColor="text1"/>
          <w:sz w:val="24"/>
          <w:szCs w:val="24"/>
          <w14:textFill>
            <w14:solidFill>
              <w14:schemeClr w14:val="tx1"/>
            </w14:solidFill>
          </w14:textFill>
        </w:rPr>
        <w:t>厦门大学“嘉庚号”科考船建设一套</w:t>
      </w:r>
      <w:r>
        <w:rPr>
          <w:rFonts w:hint="eastAsia" w:ascii="Times New Roman" w:hAnsi="Times New Roman"/>
          <w:color w:val="000000" w:themeColor="text1"/>
          <w:sz w:val="24"/>
          <w:szCs w:val="24"/>
          <w14:textFill>
            <w14:solidFill>
              <w14:schemeClr w14:val="tx1"/>
            </w14:solidFill>
          </w14:textFill>
        </w:rPr>
        <w:t>总容量为1</w:t>
      </w:r>
      <w:r>
        <w:rPr>
          <w:rFonts w:ascii="Times New Roman" w:hAnsi="Times New Roman"/>
          <w:color w:val="000000" w:themeColor="text1"/>
          <w:sz w:val="24"/>
          <w:szCs w:val="24"/>
          <w14:textFill>
            <w14:solidFill>
              <w14:schemeClr w14:val="tx1"/>
            </w14:solidFill>
          </w14:textFill>
        </w:rPr>
        <w:t>000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的智能低碳港口船舶岸电系统</w:t>
      </w:r>
      <w:r>
        <w:rPr>
          <w:rFonts w:ascii="Times New Roman" w:hAnsi="Times New Roman"/>
          <w:color w:val="000000" w:themeColor="text1"/>
          <w:sz w:val="24"/>
          <w:szCs w:val="24"/>
          <w14:textFill>
            <w14:solidFill>
              <w14:schemeClr w14:val="tx1"/>
            </w14:solidFill>
          </w14:textFill>
        </w:rPr>
        <w:t>，采用一体化集装箱方案设计，进线电源为10kV/50Hz</w:t>
      </w:r>
      <w:r>
        <w:rPr>
          <w:rFonts w:hint="eastAsia" w:ascii="Times New Roman" w:hAnsi="Times New Roman"/>
          <w:color w:val="000000" w:themeColor="text1"/>
          <w:sz w:val="24"/>
          <w:szCs w:val="24"/>
          <w14:textFill>
            <w14:solidFill>
              <w14:schemeClr w14:val="tx1"/>
            </w14:solidFill>
          </w14:textFill>
        </w:rPr>
        <w:t>或0</w:t>
      </w:r>
      <w:r>
        <w:rPr>
          <w:rFonts w:ascii="Times New Roman" w:hAnsi="Times New Roman"/>
          <w:color w:val="000000" w:themeColor="text1"/>
          <w:sz w:val="24"/>
          <w:szCs w:val="24"/>
          <w14:textFill>
            <w14:solidFill>
              <w14:schemeClr w14:val="tx1"/>
            </w14:solidFill>
          </w14:textFill>
        </w:rPr>
        <w:t>.38</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V/50Hz，采用双回路设计，</w:t>
      </w:r>
      <w:r>
        <w:rPr>
          <w:rFonts w:hint="eastAsia" w:ascii="Times New Roman" w:hAnsi="Times New Roman"/>
          <w:color w:val="000000" w:themeColor="text1"/>
          <w:sz w:val="24"/>
          <w:szCs w:val="24"/>
          <w14:textFill>
            <w14:solidFill>
              <w14:schemeClr w14:val="tx1"/>
            </w14:solidFill>
          </w14:textFill>
        </w:rPr>
        <w:t>其中嘉庚号走回路</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，回路</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包含变频电源系统可以实现</w:t>
      </w:r>
      <w:r>
        <w:rPr>
          <w:rFonts w:ascii="Times New Roman" w:hAnsi="Times New Roman"/>
          <w:color w:val="000000" w:themeColor="text1"/>
          <w:sz w:val="24"/>
          <w:szCs w:val="24"/>
          <w14:textFill>
            <w14:solidFill>
              <w14:schemeClr w14:val="tx1"/>
            </w14:solidFill>
          </w14:textFill>
        </w:rPr>
        <w:t>50Hz</w:t>
      </w:r>
      <w:r>
        <w:rPr>
          <w:rFonts w:hint="eastAsia" w:ascii="Times New Roman" w:hAnsi="Times New Roman"/>
          <w:color w:val="000000" w:themeColor="text1"/>
          <w:sz w:val="24"/>
          <w:szCs w:val="24"/>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60Hz</w:t>
      </w:r>
      <w:r>
        <w:rPr>
          <w:rFonts w:hint="eastAsia" w:ascii="Times New Roman" w:hAnsi="Times New Roman"/>
          <w:color w:val="000000" w:themeColor="text1"/>
          <w:sz w:val="24"/>
          <w:szCs w:val="24"/>
          <w14:textFill>
            <w14:solidFill>
              <w14:schemeClr w14:val="tx1"/>
            </w14:solidFill>
          </w14:textFill>
        </w:rPr>
        <w:t>的频率输出，输出电压</w:t>
      </w:r>
      <w:r>
        <w:rPr>
          <w:rFonts w:ascii="Times New Roman" w:hAnsi="Times New Roman"/>
          <w:color w:val="000000" w:themeColor="text1"/>
          <w:sz w:val="24"/>
          <w:szCs w:val="24"/>
          <w14:textFill>
            <w14:solidFill>
              <w14:schemeClr w14:val="tx1"/>
            </w14:solidFill>
          </w14:textFill>
        </w:rPr>
        <w:t>380V</w:t>
      </w:r>
      <w:r>
        <w:rPr>
          <w:rFonts w:hint="eastAsia" w:ascii="Times New Roman" w:hAnsi="Times New Roman"/>
          <w:color w:val="000000" w:themeColor="text1"/>
          <w:sz w:val="24"/>
          <w:szCs w:val="24"/>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440V</w:t>
      </w:r>
      <w:r>
        <w:rPr>
          <w:rFonts w:hint="eastAsia" w:ascii="Times New Roman" w:hAnsi="Times New Roman"/>
          <w:color w:val="000000" w:themeColor="text1"/>
          <w:sz w:val="24"/>
          <w:szCs w:val="24"/>
          <w14:textFill>
            <w14:solidFill>
              <w14:schemeClr w14:val="tx1"/>
            </w14:solidFill>
          </w14:textFill>
        </w:rPr>
        <w:t>，输出相序可自动调整，最大输出容量</w:t>
      </w:r>
      <w:r>
        <w:rPr>
          <w:rFonts w:ascii="Times New Roman" w:hAnsi="Times New Roman"/>
          <w:color w:val="000000" w:themeColor="text1"/>
          <w:sz w:val="24"/>
          <w:szCs w:val="24"/>
          <w14:textFill>
            <w14:solidFill>
              <w14:schemeClr w14:val="tx1"/>
            </w14:solidFill>
          </w14:textFill>
        </w:rPr>
        <w:t>800kVA</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b/>
          <w:bCs/>
          <w:color w:val="000000" w:themeColor="text1"/>
          <w:sz w:val="24"/>
          <w:szCs w:val="24"/>
          <w14:textFill>
            <w14:solidFill>
              <w14:schemeClr w14:val="tx1"/>
            </w14:solidFill>
          </w14:textFill>
        </w:rPr>
        <w:t>变频电源</w:t>
      </w:r>
      <w:r>
        <w:rPr>
          <w:rFonts w:hint="eastAsia" w:ascii="Times New Roman" w:hAnsi="Times New Roman"/>
          <w:b/>
          <w:bCs/>
          <w:color w:val="000000" w:themeColor="text1"/>
          <w:sz w:val="24"/>
          <w:szCs w:val="24"/>
          <w14:textFill>
            <w14:solidFill>
              <w14:schemeClr w14:val="tx1"/>
            </w14:solidFill>
          </w14:textFill>
        </w:rPr>
        <w:t>的整流模块和逆变模块采用单个大功率模块，不接受模块并联</w:t>
      </w:r>
      <w:r>
        <w:rPr>
          <w:rFonts w:hint="eastAsia" w:ascii="Times New Roman" w:hAnsi="Times New Roman"/>
          <w:color w:val="000000" w:themeColor="text1"/>
          <w:sz w:val="24"/>
          <w:szCs w:val="24"/>
          <w14:textFill>
            <w14:solidFill>
              <w14:schemeClr w14:val="tx1"/>
            </w14:solidFill>
          </w14:textFill>
        </w:rPr>
        <w:t>。回路</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为工频直接供电电源系统，输出电压为</w:t>
      </w:r>
      <w:r>
        <w:rPr>
          <w:rFonts w:ascii="Times New Roman" w:hAnsi="Times New Roman"/>
          <w:color w:val="000000" w:themeColor="text1"/>
          <w:sz w:val="24"/>
          <w:szCs w:val="24"/>
          <w14:textFill>
            <w14:solidFill>
              <w14:schemeClr w14:val="tx1"/>
            </w14:solidFill>
          </w14:textFill>
        </w:rPr>
        <w:t>380V</w:t>
      </w:r>
      <w:r>
        <w:rPr>
          <w:rFonts w:hint="eastAsia" w:ascii="Times New Roman" w:hAnsi="Times New Roman"/>
          <w:color w:val="000000" w:themeColor="text1"/>
          <w:sz w:val="24"/>
          <w:szCs w:val="24"/>
          <w14:textFill>
            <w14:solidFill>
              <w14:schemeClr w14:val="tx1"/>
            </w14:solidFill>
          </w14:textFill>
        </w:rPr>
        <w:t>，输出相序可手动调整，当与变频岸电系统同时使用时，最大输出容量</w:t>
      </w:r>
      <w:r>
        <w:rPr>
          <w:rFonts w:ascii="Times New Roman" w:hAnsi="Times New Roman"/>
          <w:color w:val="000000" w:themeColor="text1"/>
          <w:sz w:val="24"/>
          <w:szCs w:val="24"/>
          <w14:textFill>
            <w14:solidFill>
              <w14:schemeClr w14:val="tx1"/>
            </w14:solidFill>
          </w14:textFill>
        </w:rPr>
        <w:t>200kVA</w:t>
      </w:r>
      <w:r>
        <w:rPr>
          <w:rFonts w:hint="eastAsia" w:ascii="Times New Roman" w:hAnsi="Times New Roman"/>
          <w:color w:val="000000" w:themeColor="text1"/>
          <w:sz w:val="24"/>
          <w:szCs w:val="24"/>
          <w14:textFill>
            <w14:solidFill>
              <w14:schemeClr w14:val="tx1"/>
            </w14:solidFill>
          </w14:textFill>
        </w:rPr>
        <w:t>，当变频岸电系统未投入运行时，最大输出容量</w:t>
      </w:r>
      <w:r>
        <w:rPr>
          <w:rFonts w:ascii="Times New Roman" w:hAnsi="Times New Roman"/>
          <w:color w:val="000000" w:themeColor="text1"/>
          <w:sz w:val="24"/>
          <w:szCs w:val="24"/>
          <w14:textFill>
            <w14:solidFill>
              <w14:schemeClr w14:val="tx1"/>
            </w14:solidFill>
          </w14:textFill>
        </w:rPr>
        <w:t>1000kVA</w:t>
      </w:r>
      <w:r>
        <w:rPr>
          <w:rFonts w:hint="eastAsia" w:ascii="Times New Roman" w:hAnsi="Times New Roman"/>
          <w:color w:val="000000" w:themeColor="text1"/>
          <w:sz w:val="24"/>
          <w:szCs w:val="24"/>
          <w14:textFill>
            <w14:solidFill>
              <w14:schemeClr w14:val="tx1"/>
            </w14:solidFill>
          </w14:textFill>
        </w:rPr>
        <w:t>。具体包括：</w: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（1）新建</w:t>
      </w:r>
      <w:r>
        <w:rPr>
          <w:rFonts w:hint="eastAsia" w:ascii="Times New Roman" w:hAnsi="Times New Roman"/>
          <w:color w:val="000000" w:themeColor="text1"/>
          <w:sz w:val="24"/>
          <w:szCs w:val="24"/>
          <w14:textFill>
            <w14:solidFill>
              <w14:schemeClr w14:val="tx1"/>
            </w14:solidFill>
          </w14:textFill>
        </w:rPr>
        <w:t>1套</w:t>
      </w:r>
      <w:r>
        <w:rPr>
          <w:rFonts w:ascii="Times New Roman" w:hAnsi="Times New Roman"/>
          <w:color w:val="000000" w:themeColor="text1"/>
          <w:sz w:val="24"/>
          <w:szCs w:val="24"/>
          <w14:textFill>
            <w14:solidFill>
              <w14:schemeClr w14:val="tx1"/>
            </w14:solidFill>
          </w14:textFill>
        </w:rPr>
        <w:t>1000kVA低压50Hz/60Hz双频岸基供电系统，</w:t>
      </w:r>
      <w:r>
        <w:rPr>
          <w:rFonts w:hint="eastAsia" w:ascii="Times New Roman" w:hAnsi="Times New Roman"/>
          <w:color w:val="000000" w:themeColor="text1"/>
          <w:sz w:val="24"/>
          <w:szCs w:val="24"/>
          <w14:textFill>
            <w14:solidFill>
              <w14:schemeClr w14:val="tx1"/>
            </w14:solidFill>
          </w14:textFill>
        </w:rPr>
        <w:t>实现双频输出，满足不同电制的船舶及负载的供电需求，变频最大输出容量为8</w:t>
      </w:r>
      <w:r>
        <w:rPr>
          <w:rFonts w:ascii="Times New Roman" w:hAnsi="Times New Roman"/>
          <w:color w:val="000000" w:themeColor="text1"/>
          <w:sz w:val="24"/>
          <w:szCs w:val="24"/>
          <w14:textFill>
            <w14:solidFill>
              <w14:schemeClr w14:val="tx1"/>
            </w14:solidFill>
          </w14:textFill>
        </w:rPr>
        <w:t>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，工频最大输出容量为1</w:t>
      </w:r>
      <w:r>
        <w:rPr>
          <w:rFonts w:ascii="Times New Roman" w:hAnsi="Times New Roman"/>
          <w:color w:val="000000" w:themeColor="text1"/>
          <w:sz w:val="24"/>
          <w:szCs w:val="24"/>
          <w14:textFill>
            <w14:solidFill>
              <w14:schemeClr w14:val="tx1"/>
            </w14:solidFill>
          </w14:textFill>
        </w:rPr>
        <w:t>000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（与变频同时使用时最大为</w:t>
      </w:r>
      <w:r>
        <w:rPr>
          <w:rFonts w:ascii="Times New Roman" w:hAnsi="Times New Roman"/>
          <w:color w:val="000000" w:themeColor="text1"/>
          <w:sz w:val="24"/>
          <w:szCs w:val="24"/>
          <w14:textFill>
            <w14:solidFill>
              <w14:schemeClr w14:val="tx1"/>
            </w14:solidFill>
          </w14:textFill>
        </w:rPr>
        <w:t>200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VA</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集装箱内一体化集成后安装在码头面</w:t>
      </w:r>
      <w:r>
        <w:rPr>
          <w:rFonts w:hint="eastAsia" w:ascii="Times New Roman" w:hAnsi="Times New Roman"/>
          <w:color w:val="000000" w:themeColor="text1"/>
          <w:sz w:val="24"/>
          <w:szCs w:val="24"/>
          <w14:textFill>
            <w14:solidFill>
              <w14:schemeClr w14:val="tx1"/>
            </w14:solidFill>
          </w14:textFill>
        </w:rPr>
        <w:t>，配置三根船岸连接电缆，为船供电</w:t>
      </w:r>
      <w:r>
        <w:rPr>
          <w:rFonts w:ascii="Times New Roman" w:hAnsi="Times New Roman"/>
          <w:color w:val="000000" w:themeColor="text1"/>
          <w:sz w:val="24"/>
          <w:szCs w:val="24"/>
          <w14:textFill>
            <w14:solidFill>
              <w14:schemeClr w14:val="tx1"/>
            </w14:solidFill>
          </w14:textFill>
        </w:rPr>
        <w:t>。</w: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新建2台1</w:t>
      </w:r>
      <w:r>
        <w:rPr>
          <w:rFonts w:ascii="Times New Roman" w:hAnsi="Times New Roman"/>
          <w:color w:val="000000" w:themeColor="text1"/>
          <w:sz w:val="24"/>
          <w:szCs w:val="24"/>
          <w14:textFill>
            <w14:solidFill>
              <w14:schemeClr w14:val="tx1"/>
            </w14:solidFill>
          </w14:textFill>
        </w:rPr>
        <w:t>20</w:t>
      </w:r>
      <w:r>
        <w:rPr>
          <w:rFonts w:hint="eastAsia" w:ascii="Times New Roman" w:hAnsi="Times New Roman"/>
          <w:color w:val="000000" w:themeColor="text1"/>
          <w:sz w:val="24"/>
          <w:szCs w:val="24"/>
          <w14:textFill>
            <w14:solidFill>
              <w14:schemeClr w14:val="tx1"/>
            </w14:solidFill>
          </w14:textFill>
        </w:rPr>
        <w:t>k</w:t>
      </w:r>
      <w:r>
        <w:rPr>
          <w:rFonts w:ascii="Times New Roman" w:hAnsi="Times New Roman"/>
          <w:color w:val="000000" w:themeColor="text1"/>
          <w:sz w:val="24"/>
          <w:szCs w:val="24"/>
          <w14:textFill>
            <w14:solidFill>
              <w14:schemeClr w14:val="tx1"/>
            </w14:solidFill>
          </w14:textFill>
        </w:rPr>
        <w:t>W</w:t>
      </w:r>
      <w:r>
        <w:rPr>
          <w:rFonts w:hint="eastAsia" w:ascii="Times New Roman" w:hAnsi="Times New Roman"/>
          <w:color w:val="000000" w:themeColor="text1"/>
          <w:sz w:val="24"/>
          <w:szCs w:val="24"/>
          <w14:textFill>
            <w14:solidFill>
              <w14:schemeClr w14:val="tx1"/>
            </w14:solidFill>
          </w14:textFill>
        </w:rPr>
        <w:t>双枪直流充电桩，其中1台集成在集装箱内，1台放在码头面上。</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（3）在集装箱上面铺设光伏系统，为U</w:t>
      </w:r>
      <w:r>
        <w:rPr>
          <w:rFonts w:ascii="Times New Roman" w:hAnsi="Times New Roman"/>
          <w:color w:val="000000" w:themeColor="text1"/>
          <w:sz w:val="24"/>
          <w:szCs w:val="24"/>
          <w14:textFill>
            <w14:solidFill>
              <w14:schemeClr w14:val="tx1"/>
            </w14:solidFill>
          </w14:textFill>
        </w:rPr>
        <w:t>PS</w:t>
      </w:r>
      <w:r>
        <w:rPr>
          <w:rFonts w:hint="eastAsia" w:ascii="Times New Roman" w:hAnsi="Times New Roman"/>
          <w:color w:val="000000" w:themeColor="text1"/>
          <w:sz w:val="24"/>
          <w:szCs w:val="24"/>
          <w14:textFill>
            <w14:solidFill>
              <w14:schemeClr w14:val="tx1"/>
            </w14:solidFill>
          </w14:textFill>
        </w:rPr>
        <w:t>供电，增加一路2</w:t>
      </w:r>
      <w:r>
        <w:rPr>
          <w:rFonts w:ascii="Times New Roman" w:hAnsi="Times New Roman"/>
          <w:color w:val="000000" w:themeColor="text1"/>
          <w:sz w:val="24"/>
          <w:szCs w:val="24"/>
          <w14:textFill>
            <w14:solidFill>
              <w14:schemeClr w14:val="tx1"/>
            </w14:solidFill>
          </w14:textFill>
        </w:rPr>
        <w:t>20V</w:t>
      </w:r>
      <w:r>
        <w:rPr>
          <w:rFonts w:hint="eastAsia" w:ascii="Times New Roman" w:hAnsi="Times New Roman"/>
          <w:color w:val="000000" w:themeColor="text1"/>
          <w:sz w:val="24"/>
          <w:szCs w:val="24"/>
          <w14:textFill>
            <w14:solidFill>
              <w14:schemeClr w14:val="tx1"/>
            </w14:solidFill>
          </w14:textFill>
        </w:rPr>
        <w:t>电源进线，接到集装箱交流屏，在岸电系统断电的情况下，为视频监控系统进行供电。</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（4）岸电电源进线电缆的敷设施工（含电缆沟的开挖和回填）及绝缘试验，同时应为集装箱建设一座高3</w:t>
      </w:r>
      <w:r>
        <w:rPr>
          <w:rFonts w:ascii="Times New Roman" w:hAnsi="Times New Roman"/>
          <w:color w:val="000000" w:themeColor="text1"/>
          <w:sz w:val="24"/>
          <w:szCs w:val="24"/>
          <w14:textFill>
            <w14:solidFill>
              <w14:schemeClr w14:val="tx1"/>
            </w14:solidFill>
          </w14:textFill>
        </w:rPr>
        <w:t>0</w:t>
      </w:r>
      <w:r>
        <w:rPr>
          <w:rFonts w:hint="eastAsia" w:ascii="Times New Roman" w:hAnsi="Times New Roman"/>
          <w:color w:val="000000" w:themeColor="text1"/>
          <w:sz w:val="24"/>
          <w:szCs w:val="24"/>
          <w14:textFill>
            <w14:solidFill>
              <w14:schemeClr w14:val="tx1"/>
            </w14:solidFill>
          </w14:textFill>
        </w:rPr>
        <w:t>cm的混凝土底座，满足集装箱落位安装的需要。</w:t>
      </w:r>
    </w:p>
    <w:p>
      <w:pPr>
        <w:spacing w:line="360" w:lineRule="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（5）船级社委托认证测试（含现场试验和关键设备的驻厂监造）。</w:t>
      </w:r>
    </w:p>
    <w:p>
      <w:pPr>
        <w:spacing w:line="360" w:lineRule="auto"/>
        <w:ind w:firstLine="480" w:firstLineChars="200"/>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项目内容包括岸电系统制造、供货、运输、保险、风险、装卸、</w:t>
      </w:r>
      <w:r>
        <w:rPr>
          <w:rFonts w:hint="eastAsia" w:ascii="Times New Roman" w:hAnsi="Times New Roman"/>
          <w:color w:val="000000" w:themeColor="text1"/>
          <w:sz w:val="24"/>
          <w:szCs w:val="24"/>
          <w14:textFill>
            <w14:solidFill>
              <w14:schemeClr w14:val="tx1"/>
            </w14:solidFill>
          </w14:textFill>
        </w:rPr>
        <w:t>工程实施、安装</w:t>
      </w:r>
      <w:r>
        <w:rPr>
          <w:rFonts w:ascii="Times New Roman" w:hAnsi="Times New Roman"/>
          <w:color w:val="000000" w:themeColor="text1"/>
          <w:sz w:val="24"/>
          <w:szCs w:val="24"/>
          <w14:textFill>
            <w14:solidFill>
              <w14:schemeClr w14:val="tx1"/>
            </w14:solidFill>
          </w14:textFill>
        </w:rPr>
        <w:t>调试、检验、人员培训、现场服务、随机工具、备件、相关技术资料、质量保证期</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售后服务</w:t>
      </w:r>
      <w:r>
        <w:rPr>
          <w:rFonts w:hint="eastAsia" w:ascii="Times New Roman" w:hAnsi="Times New Roman"/>
          <w:color w:val="000000" w:themeColor="text1"/>
          <w:sz w:val="24"/>
          <w:szCs w:val="24"/>
          <w14:textFill>
            <w14:solidFill>
              <w14:schemeClr w14:val="tx1"/>
            </w14:solidFill>
          </w14:textFill>
        </w:rPr>
        <w:t>以及质保期后的维保方案</w:t>
      </w:r>
      <w:r>
        <w:rPr>
          <w:rFonts w:ascii="Times New Roman" w:hAnsi="Times New Roman"/>
          <w:color w:val="000000" w:themeColor="text1"/>
          <w:sz w:val="24"/>
          <w:szCs w:val="24"/>
          <w14:textFill>
            <w14:solidFill>
              <w14:schemeClr w14:val="tx1"/>
            </w14:solidFill>
          </w14:textFill>
        </w:rPr>
        <w:t>。其中岸电系统包括但不限于：</w:t>
      </w:r>
      <w:r>
        <w:rPr>
          <w:rFonts w:ascii="Times New Roman" w:hAnsi="Times New Roman"/>
          <w:sz w:val="24"/>
          <w:szCs w:val="24"/>
        </w:rPr>
        <w:t>电源主设备、附属设备、集装箱及为满足岸电系统运行所需的相关配套装置。主设备包括高压进线柜、岸电电源、隔离变压器、馈线柜、计量系统、监控系统等。</w:t>
      </w:r>
    </w:p>
    <w:bookmarkEnd w:id="2"/>
    <w:p>
      <w:pPr>
        <w:spacing w:line="360" w:lineRule="auto"/>
        <w:ind w:firstLine="42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asciiTheme="minorEastAsia" w:hAnsiTheme="minorEastAsia" w:eastAsiaTheme="minorEastAsia"/>
          <w:sz w:val="24"/>
          <w:szCs w:val="24"/>
        </w:rPr>
        <w:t>招标项目技术要求：</w:t>
      </w:r>
    </w:p>
    <w:p>
      <w:pPr>
        <w:spacing w:line="500" w:lineRule="exact"/>
        <w:rPr>
          <w:rFonts w:asciiTheme="minorEastAsia" w:hAnsiTheme="minorEastAsia" w:eastAsiaTheme="minorEastAsia"/>
          <w:color w:val="0000FF"/>
          <w:sz w:val="24"/>
          <w:szCs w:val="24"/>
          <w:u w:val="single"/>
        </w:rPr>
      </w:pPr>
      <w:r>
        <w:rPr>
          <w:rFonts w:hint="eastAsia" w:asciiTheme="minorEastAsia" w:hAnsiTheme="minorEastAsia" w:eastAsiaTheme="minorEastAsia"/>
          <w:sz w:val="24"/>
          <w:szCs w:val="24"/>
        </w:rPr>
        <w:t>详见附件一：</w:t>
      </w:r>
      <w:r>
        <w:rPr>
          <w:rFonts w:hint="eastAsia" w:asciiTheme="minorEastAsia" w:hAnsiTheme="minorEastAsia" w:eastAsiaTheme="minorEastAsia"/>
          <w:color w:val="0000FF"/>
          <w:sz w:val="24"/>
          <w:szCs w:val="24"/>
          <w:u w:val="single"/>
        </w:rPr>
        <w:t>《技术规范书》</w:t>
      </w:r>
    </w:p>
    <w:p>
      <w:pPr>
        <w:pStyle w:val="5"/>
        <w:spacing w:line="500" w:lineRule="exact"/>
        <w:ind w:firstLine="480" w:firstLineChars="20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w:t>
      </w:r>
      <w:r>
        <w:rPr>
          <w:rFonts w:cs="宋体" w:asciiTheme="minorEastAsia" w:hAnsiTheme="minorEastAsia" w:eastAsiaTheme="minorEastAsia"/>
          <w:b w:val="0"/>
          <w:sz w:val="24"/>
          <w:szCs w:val="24"/>
        </w:rPr>
        <w:t>.5</w:t>
      </w:r>
      <w:r>
        <w:rPr>
          <w:rFonts w:hint="eastAsia" w:cs="宋体" w:asciiTheme="minorEastAsia" w:hAnsiTheme="minorEastAsia" w:eastAsiaTheme="minorEastAsia"/>
          <w:b w:val="0"/>
          <w:sz w:val="24"/>
          <w:szCs w:val="24"/>
        </w:rPr>
        <w:t>项目交付期</w:t>
      </w:r>
    </w:p>
    <w:p>
      <w:pPr>
        <w:spacing w:after="80"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highlight w:val="yellow"/>
        </w:rPr>
        <w:t>2</w:t>
      </w:r>
      <w:r>
        <w:rPr>
          <w:rFonts w:ascii="Times New Roman" w:hAnsi="Times New Roman"/>
          <w:color w:val="000000"/>
          <w:sz w:val="24"/>
          <w:szCs w:val="24"/>
          <w:highlight w:val="yellow"/>
        </w:rPr>
        <w:t>023</w:t>
      </w:r>
      <w:r>
        <w:rPr>
          <w:rFonts w:hint="eastAsia" w:ascii="Times New Roman" w:hAnsi="Times New Roman"/>
          <w:color w:val="000000"/>
          <w:sz w:val="24"/>
          <w:szCs w:val="24"/>
          <w:highlight w:val="yellow"/>
        </w:rPr>
        <w:t>年1</w:t>
      </w:r>
      <w:r>
        <w:rPr>
          <w:rFonts w:ascii="Times New Roman" w:hAnsi="Times New Roman"/>
          <w:color w:val="000000"/>
          <w:sz w:val="24"/>
          <w:szCs w:val="24"/>
          <w:highlight w:val="yellow"/>
        </w:rPr>
        <w:t>0</w:t>
      </w:r>
      <w:r>
        <w:rPr>
          <w:rFonts w:hint="eastAsia" w:ascii="Times New Roman" w:hAnsi="Times New Roman"/>
          <w:color w:val="000000"/>
          <w:sz w:val="24"/>
          <w:szCs w:val="24"/>
          <w:highlight w:val="yellow"/>
        </w:rPr>
        <w:t>月</w:t>
      </w:r>
      <w:r>
        <w:rPr>
          <w:rFonts w:ascii="Times New Roman" w:hAnsi="Times New Roman"/>
          <w:color w:val="000000"/>
          <w:sz w:val="24"/>
          <w:szCs w:val="24"/>
          <w:highlight w:val="yellow"/>
        </w:rPr>
        <w:t>25</w:t>
      </w:r>
      <w:r>
        <w:rPr>
          <w:rFonts w:hint="eastAsia" w:ascii="Times New Roman" w:hAnsi="Times New Roman"/>
          <w:color w:val="000000"/>
          <w:sz w:val="24"/>
          <w:szCs w:val="24"/>
          <w:highlight w:val="yellow"/>
        </w:rPr>
        <w:t>日前</w:t>
      </w:r>
      <w:r>
        <w:rPr>
          <w:rFonts w:hint="eastAsia" w:ascii="Times New Roman" w:hAnsi="Times New Roman"/>
          <w:color w:val="000000"/>
          <w:sz w:val="24"/>
          <w:szCs w:val="24"/>
        </w:rPr>
        <w:t>，完成设备供货、电缆施工、安装调试、现场测试及项目交付验收所必需的相关工作，具备联船条件。</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招标工作安排</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2.1招标方式：公开招标。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2.2招标文件领取时间：</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w:t>
      </w:r>
      <w:r>
        <w:rPr>
          <w:rFonts w:cs="宋体" w:asciiTheme="minorEastAsia" w:hAnsiTheme="minorEastAsia" w:eastAsiaTheme="minorEastAsia"/>
          <w:sz w:val="24"/>
          <w:szCs w:val="24"/>
          <w:highlight w:val="yellow"/>
        </w:rPr>
        <w:t>202</w:t>
      </w:r>
      <w:r>
        <w:rPr>
          <w:rFonts w:hint="eastAsia" w:cs="宋体" w:asciiTheme="minorEastAsia" w:hAnsiTheme="minorEastAsia" w:eastAsiaTheme="minorEastAsia"/>
          <w:sz w:val="24"/>
          <w:szCs w:val="24"/>
          <w:highlight w:val="yellow"/>
        </w:rPr>
        <w:t>3</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年</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8</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月</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2</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日至</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8</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月</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7</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日</w:t>
      </w:r>
      <w:r>
        <w:rPr>
          <w:rFonts w:hint="eastAsia" w:cs="宋体" w:asciiTheme="minorEastAsia" w:hAnsiTheme="minorEastAsia" w:eastAsiaTheme="minorEastAsia"/>
          <w:sz w:val="24"/>
          <w:szCs w:val="24"/>
        </w:rPr>
        <w:t>，上午</w:t>
      </w:r>
      <w:r>
        <w:rPr>
          <w:rFonts w:cs="宋体" w:asciiTheme="minorEastAsia" w:hAnsiTheme="minorEastAsia" w:eastAsiaTheme="minorEastAsia"/>
          <w:sz w:val="24"/>
          <w:szCs w:val="24"/>
        </w:rPr>
        <w:t>9:30至11:30，下午3:00至5:00。</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地点：福建省厦门市仙岳路4688号国贸中心南塔楼27楼或者在http://www.itg.com.cn/上自行下载</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联系人：付先生</w:t>
      </w:r>
    </w:p>
    <w:p>
      <w:pPr>
        <w:spacing w:line="500" w:lineRule="exact"/>
        <w:ind w:firstLine="240" w:firstLineChars="10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联系电话：</w:t>
      </w:r>
      <w:r>
        <w:rPr>
          <w:rFonts w:cs="宋体" w:asciiTheme="minorEastAsia" w:hAnsiTheme="minorEastAsia" w:eastAsiaTheme="minorEastAsia"/>
          <w:bCs/>
          <w:sz w:val="24"/>
          <w:szCs w:val="24"/>
        </w:rPr>
        <w:t xml:space="preserve"> 0592-5895945</w:t>
      </w:r>
    </w:p>
    <w:p>
      <w:pPr>
        <w:pStyle w:val="4"/>
        <w:numPr>
          <w:ilvl w:val="0"/>
          <w:numId w:val="1"/>
        </w:numPr>
        <w:spacing w:line="500" w:lineRule="exact"/>
        <w:rPr>
          <w:rFonts w:cs="宋体" w:asciiTheme="minorEastAsia" w:hAnsiTheme="minorEastAsia" w:eastAsiaTheme="minorEastAsia"/>
          <w:bCs w:val="0"/>
          <w:sz w:val="24"/>
          <w:szCs w:val="24"/>
        </w:rPr>
      </w:pPr>
      <w:bookmarkStart w:id="3" w:name="_Toc342899802"/>
      <w:bookmarkStart w:id="4" w:name="_Toc422839254"/>
      <w:r>
        <w:rPr>
          <w:rFonts w:hint="eastAsia" w:cs="宋体" w:asciiTheme="minorEastAsia" w:hAnsiTheme="minorEastAsia" w:eastAsiaTheme="minorEastAsia"/>
          <w:bCs w:val="0"/>
          <w:sz w:val="24"/>
          <w:szCs w:val="24"/>
        </w:rPr>
        <w:t>招标文件</w:t>
      </w:r>
      <w:bookmarkEnd w:id="3"/>
      <w:bookmarkEnd w:id="4"/>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3.1招标文件的组成：</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本招标文件及附件、答疑纪要、招标人对招标文件的修改及其它有效函件。</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3.2招标文件的澄清</w:t>
      </w:r>
    </w:p>
    <w:p>
      <w:pPr>
        <w:pStyle w:val="6"/>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3.2.1 </w:t>
      </w:r>
      <w:r>
        <w:rPr>
          <w:rFonts w:hint="eastAsia" w:cs="宋体" w:asciiTheme="minorEastAsia" w:hAnsiTheme="minorEastAsia" w:eastAsiaTheme="minorEastAsia"/>
          <w:b w:val="0"/>
          <w:sz w:val="24"/>
          <w:szCs w:val="24"/>
        </w:rPr>
        <w:t>投标人若认为有问题需要澄清，应于招标文件公告后</w:t>
      </w:r>
      <w:r>
        <w:rPr>
          <w:rFonts w:cs="宋体" w:asciiTheme="minorEastAsia" w:hAnsiTheme="minorEastAsia" w:eastAsiaTheme="minorEastAsia"/>
          <w:b w:val="0"/>
          <w:sz w:val="24"/>
          <w:szCs w:val="24"/>
        </w:rPr>
        <w:t>5日内以书面形式向招标人提出，招标人认为有必要澄清的将以通知或公告的形式予以澄清，并作为招标文件的组成部分。投标人因对招标文件理解不正确或误解而单方面做出的推论、解释和结论，不属于招标人承诺，招标人概不负责。</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投标人应将投标疑问传递至厦门</w:t>
      </w:r>
      <w:r>
        <w:rPr>
          <w:rFonts w:hint="eastAsia" w:cs="宋体" w:asciiTheme="minorEastAsia" w:hAnsiTheme="minorEastAsia" w:eastAsiaTheme="minorEastAsia"/>
          <w:bCs/>
          <w:sz w:val="24"/>
          <w:szCs w:val="24"/>
          <w:lang w:eastAsia="zh-Hans"/>
        </w:rPr>
        <w:t>启润零碳</w:t>
      </w:r>
      <w:r>
        <w:rPr>
          <w:rFonts w:hint="eastAsia" w:cs="宋体" w:asciiTheme="minorEastAsia" w:hAnsiTheme="minorEastAsia" w:eastAsiaTheme="minorEastAsia"/>
          <w:bCs/>
          <w:sz w:val="24"/>
          <w:szCs w:val="24"/>
        </w:rPr>
        <w:t>数字科技有限公司（福建省厦门市仙岳路4688号国贸中心南塔楼27楼）。</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邮政编码：3</w:t>
      </w:r>
      <w:r>
        <w:rPr>
          <w:rFonts w:cs="宋体" w:asciiTheme="minorEastAsia" w:hAnsiTheme="minorEastAsia" w:eastAsiaTheme="minorEastAsia"/>
          <w:bCs/>
          <w:sz w:val="24"/>
          <w:szCs w:val="24"/>
        </w:rPr>
        <w:t>61004</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联系人：付先生</w:t>
      </w:r>
      <w:r>
        <w:rPr>
          <w:rFonts w:cs="宋体" w:asciiTheme="minorEastAsia" w:hAnsiTheme="minorEastAsia" w:eastAsiaTheme="minorEastAsia"/>
          <w:bCs/>
          <w:sz w:val="24"/>
          <w:szCs w:val="24"/>
        </w:rPr>
        <w:t xml:space="preserve">   联系电话：</w:t>
      </w:r>
      <w:r>
        <w:rPr>
          <w:rFonts w:hint="eastAsia" w:cs="宋体" w:asciiTheme="minorEastAsia" w:hAnsiTheme="minorEastAsia" w:eastAsiaTheme="minorEastAsia"/>
          <w:bCs/>
          <w:sz w:val="24"/>
          <w:szCs w:val="24"/>
        </w:rPr>
        <w:t>0</w:t>
      </w:r>
      <w:r>
        <w:rPr>
          <w:rFonts w:cs="宋体" w:asciiTheme="minorEastAsia" w:hAnsiTheme="minorEastAsia" w:eastAsiaTheme="minorEastAsia"/>
          <w:bCs/>
          <w:sz w:val="24"/>
          <w:szCs w:val="24"/>
        </w:rPr>
        <w:t>592-5895945</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电子信箱：fuguohui</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itg</w:t>
      </w:r>
      <w:r>
        <w:rPr>
          <w:rFonts w:cs="宋体" w:asciiTheme="minorEastAsia" w:hAnsiTheme="minorEastAsia" w:eastAsiaTheme="minorEastAsia"/>
          <w:bCs/>
          <w:sz w:val="24"/>
          <w:szCs w:val="24"/>
        </w:rPr>
        <w:t>.com.cn</w:t>
      </w:r>
    </w:p>
    <w:p>
      <w:pPr>
        <w:pStyle w:val="6"/>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3.2.2 </w:t>
      </w:r>
      <w:r>
        <w:rPr>
          <w:rFonts w:hint="eastAsia" w:cs="宋体" w:asciiTheme="minorEastAsia" w:hAnsiTheme="minorEastAsia" w:eastAsiaTheme="minorEastAsia"/>
          <w:b w:val="0"/>
          <w:sz w:val="24"/>
          <w:szCs w:val="24"/>
        </w:rPr>
        <w:t>招标文件（合同履行阶段）中有不符合行业标准的，投标方应在投标阶段或中标实施阶段尽提醒及配合义务。如投标人（中标人）未尽义务的，造成的损失由投标人（中标人）承担。</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3.3招标文件的修改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招标人无论出于任何原因均有权对已发出的招标文件进行必要的修改。若需进行必要的修改，应在投标截止时间</w:t>
      </w:r>
      <w:r>
        <w:rPr>
          <w:rFonts w:cs="宋体" w:asciiTheme="minorEastAsia" w:hAnsiTheme="minorEastAsia" w:eastAsiaTheme="minorEastAsia"/>
          <w:sz w:val="24"/>
          <w:szCs w:val="24"/>
        </w:rPr>
        <w:t>15</w:t>
      </w:r>
      <w:r>
        <w:rPr>
          <w:rFonts w:hint="eastAsia" w:cs="宋体" w:asciiTheme="minorEastAsia" w:hAnsiTheme="minorEastAsia" w:eastAsiaTheme="minorEastAsia"/>
          <w:sz w:val="24"/>
          <w:szCs w:val="24"/>
        </w:rPr>
        <w:t>天前，以书面形式（包括邮寄信件、邮件、传真等形式）送达所有合格投标人。投标人在收到该澄清文件后应于</w:t>
      </w:r>
      <w:r>
        <w:rPr>
          <w:rFonts w:cs="宋体" w:asciiTheme="minorEastAsia" w:hAnsiTheme="minorEastAsia" w:eastAsiaTheme="minorEastAsia"/>
          <w:sz w:val="24"/>
          <w:szCs w:val="24"/>
        </w:rPr>
        <w:t>24小时内，以书面形式给予确认，如无书面确认则视作认可该修改内容为招标文件的组成部分。</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3.4投标截止时间的延迟</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在原定投标截止时间之前，如果出现特殊情况，投标截止时间需要延迟的，招标人可以书面或者电子邮件的形式通知投标人延迟后的投标截止时间。投标人须在接到招标人发出的延迟通知</w:t>
      </w:r>
      <w:r>
        <w:rPr>
          <w:rFonts w:cs="宋体" w:asciiTheme="minorEastAsia" w:hAnsiTheme="minorEastAsia" w:eastAsiaTheme="minorEastAsia"/>
          <w:sz w:val="24"/>
          <w:szCs w:val="24"/>
        </w:rPr>
        <w:t>24小时内以书面</w:t>
      </w:r>
      <w:r>
        <w:rPr>
          <w:rFonts w:hint="eastAsia" w:cs="宋体" w:asciiTheme="minorEastAsia" w:hAnsiTheme="minorEastAsia" w:eastAsiaTheme="minorEastAsia"/>
          <w:sz w:val="24"/>
          <w:szCs w:val="24"/>
        </w:rPr>
        <w:t>或者电子邮件的</w:t>
      </w:r>
      <w:r>
        <w:rPr>
          <w:rFonts w:cs="宋体" w:asciiTheme="minorEastAsia" w:hAnsiTheme="minorEastAsia" w:eastAsiaTheme="minorEastAsia"/>
          <w:sz w:val="24"/>
          <w:szCs w:val="24"/>
        </w:rPr>
        <w:t>形式予以确认；投标人也可以不予确认，若不予确认则视为放弃投标。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3.5招标文件的解释：本招标文件的解释权归属招标人。</w:t>
      </w:r>
    </w:p>
    <w:p>
      <w:pPr>
        <w:pStyle w:val="4"/>
        <w:numPr>
          <w:ilvl w:val="0"/>
          <w:numId w:val="1"/>
        </w:numPr>
        <w:spacing w:line="500" w:lineRule="exact"/>
        <w:rPr>
          <w:rFonts w:cs="宋体" w:asciiTheme="minorEastAsia" w:hAnsiTheme="minorEastAsia" w:eastAsiaTheme="minorEastAsia"/>
          <w:bCs w:val="0"/>
          <w:sz w:val="24"/>
          <w:szCs w:val="24"/>
        </w:rPr>
      </w:pPr>
      <w:bookmarkStart w:id="5" w:name="_Toc422839255"/>
      <w:bookmarkStart w:id="6" w:name="_Toc342899803"/>
      <w:r>
        <w:rPr>
          <w:rFonts w:hint="eastAsia" w:cs="宋体" w:asciiTheme="minorEastAsia" w:hAnsiTheme="minorEastAsia" w:eastAsiaTheme="minorEastAsia"/>
          <w:bCs w:val="0"/>
          <w:sz w:val="24"/>
          <w:szCs w:val="24"/>
        </w:rPr>
        <w:t>合格的投标人</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投标人参加本项目招标活动应当具备下列条件：</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4</w:t>
      </w:r>
      <w:r>
        <w:rPr>
          <w:rFonts w:hint="eastAsia" w:cs="宋体" w:asciiTheme="minorEastAsia" w:hAnsiTheme="minorEastAsia" w:eastAsiaTheme="minorEastAsia"/>
          <w:b w:val="0"/>
          <w:sz w:val="24"/>
          <w:szCs w:val="24"/>
        </w:rPr>
        <w:t>.1 通用条件</w:t>
      </w:r>
    </w:p>
    <w:p>
      <w:pPr>
        <w:spacing w:line="500" w:lineRule="exact"/>
        <w:ind w:left="239"/>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.1.1 投标人为中华人民共和国境内合法注册的独立企业法人或其他组织，具有独立承担民事责任能力，具有独立订立合同的权利，且符合本次招标要求</w:t>
      </w:r>
      <w:r>
        <w:rPr>
          <w:rFonts w:cs="宋体" w:asciiTheme="minorEastAsia" w:hAnsiTheme="minorEastAsia" w:eastAsiaTheme="minorEastAsia"/>
          <w:sz w:val="24"/>
          <w:szCs w:val="24"/>
        </w:rPr>
        <w:t>的经营许可范围</w:t>
      </w:r>
      <w:r>
        <w:rPr>
          <w:rFonts w:hint="eastAsia" w:cs="宋体" w:asciiTheme="minorEastAsia" w:hAnsiTheme="minorEastAsia" w:eastAsiaTheme="minorEastAsia"/>
          <w:sz w:val="24"/>
          <w:szCs w:val="24"/>
        </w:rPr>
        <w:t>；</w:t>
      </w:r>
    </w:p>
    <w:p>
      <w:pPr>
        <w:spacing w:line="500" w:lineRule="exact"/>
        <w:ind w:left="239"/>
        <w:rPr>
          <w:rFonts w:cs="宋体" w:asciiTheme="minorEastAsia" w:hAnsiTheme="minorEastAsia" w:eastAsiaTheme="minorEastAsia"/>
          <w:sz w:val="24"/>
          <w:szCs w:val="24"/>
        </w:rPr>
      </w:pPr>
      <w:bookmarkStart w:id="7" w:name="_Hlk139636457"/>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1.2 </w:t>
      </w:r>
      <w:r>
        <w:rPr>
          <w:rFonts w:hint="eastAsia" w:cs="宋体" w:asciiTheme="minorEastAsia" w:hAnsiTheme="minorEastAsia" w:eastAsiaTheme="minorEastAsia"/>
          <w:sz w:val="24"/>
          <w:szCs w:val="24"/>
        </w:rPr>
        <w:t>投标人须具有健全的质量管理体系，并提供相关证书复印件；</w:t>
      </w:r>
    </w:p>
    <w:bookmarkEnd w:id="7"/>
    <w:p>
      <w:pPr>
        <w:spacing w:line="500" w:lineRule="exact"/>
        <w:ind w:left="239"/>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 xml:space="preserve"> 投标人财务、信誉等方面应具备下列条件：</w:t>
      </w:r>
    </w:p>
    <w:p>
      <w:pPr>
        <w:spacing w:line="500" w:lineRule="exact"/>
        <w:ind w:left="239"/>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 没有处于被责令停产、停业或进入破产程序，生产经营正常且具备合同履约能力</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highlight w:val="yellow"/>
          <w:lang w:val="en-US" w:eastAsia="zh-CN"/>
        </w:rPr>
        <w:t>投标人需</w:t>
      </w:r>
      <w:r>
        <w:rPr>
          <w:rFonts w:hint="eastAsia" w:cs="宋体" w:asciiTheme="minorEastAsia" w:hAnsiTheme="minorEastAsia" w:eastAsiaTheme="minorEastAsia"/>
          <w:sz w:val="24"/>
          <w:szCs w:val="24"/>
          <w:highlight w:val="yellow"/>
        </w:rPr>
        <w:t>提供经审计的财务报告。</w:t>
      </w:r>
    </w:p>
    <w:p>
      <w:pPr>
        <w:spacing w:line="500" w:lineRule="exact"/>
        <w:ind w:left="23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 没有处于行政主管部门或厦门国贸控股集团有限公司内单位相关文件确认的禁止投标的处罚期内；</w:t>
      </w:r>
    </w:p>
    <w:p>
      <w:pPr>
        <w:spacing w:line="500" w:lineRule="exact"/>
        <w:ind w:left="23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 20</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年1月1日以来没有骗取中标或严重违约，没有经鉴定部门认定的因其产品引起的重大质量事故；</w:t>
      </w:r>
    </w:p>
    <w:p>
      <w:pPr>
        <w:spacing w:line="500" w:lineRule="exact"/>
        <w:ind w:left="23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 投标人及其关联公司未被人民法院纳入“失信被执行人”名单或其有关信息已从失信被执行人名单库中删除。</w:t>
      </w:r>
    </w:p>
    <w:p>
      <w:pPr>
        <w:spacing w:line="500" w:lineRule="exact"/>
        <w:ind w:left="23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（5）投标人资信/信用等级应为“A</w:t>
      </w:r>
      <w:r>
        <w:rPr>
          <w:rFonts w:cs="宋体" w:asciiTheme="minorEastAsia" w:hAnsiTheme="minorEastAsia" w:eastAsiaTheme="minorEastAsia"/>
          <w:sz w:val="24"/>
          <w:szCs w:val="24"/>
        </w:rPr>
        <w:t>AA</w:t>
      </w:r>
      <w:r>
        <w:rPr>
          <w:rFonts w:hint="eastAsia" w:cs="宋体" w:asciiTheme="minorEastAsia" w:hAnsiTheme="minorEastAsia" w:eastAsiaTheme="minorEastAsia"/>
          <w:sz w:val="24"/>
          <w:szCs w:val="24"/>
        </w:rPr>
        <w:t>”级。</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4</w:t>
      </w:r>
      <w:r>
        <w:rPr>
          <w:rFonts w:hint="eastAsia" w:cs="宋体" w:asciiTheme="minorEastAsia" w:hAnsiTheme="minorEastAsia" w:eastAsiaTheme="minorEastAsia"/>
          <w:b w:val="0"/>
          <w:sz w:val="24"/>
          <w:szCs w:val="24"/>
        </w:rPr>
        <w:t>.2 专项条件：</w:t>
      </w:r>
    </w:p>
    <w:p>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.2.1业绩要求：投标人具有自2</w:t>
      </w:r>
      <w:r>
        <w:rPr>
          <w:rFonts w:cs="宋体" w:asciiTheme="minorEastAsia" w:hAnsiTheme="minorEastAsia" w:eastAsiaTheme="minorEastAsia"/>
          <w:sz w:val="24"/>
          <w:szCs w:val="24"/>
        </w:rPr>
        <w:t>017</w:t>
      </w:r>
      <w:r>
        <w:rPr>
          <w:rFonts w:hint="eastAsia" w:cs="宋体" w:asciiTheme="minorEastAsia" w:hAnsiTheme="minorEastAsia" w:eastAsiaTheme="minorEastAsia"/>
          <w:sz w:val="24"/>
          <w:szCs w:val="24"/>
        </w:rPr>
        <w:t>年1月1日以来，成功投运的8</w:t>
      </w:r>
      <w:r>
        <w:rPr>
          <w:rFonts w:cs="宋体" w:asciiTheme="minorEastAsia" w:hAnsiTheme="minorEastAsia" w:eastAsiaTheme="minorEastAsia"/>
          <w:sz w:val="24"/>
          <w:szCs w:val="24"/>
        </w:rPr>
        <w:t>00</w:t>
      </w:r>
      <w:r>
        <w:rPr>
          <w:rFonts w:hint="eastAsia" w:cs="宋体" w:asciiTheme="minorEastAsia" w:hAnsiTheme="minorEastAsia" w:eastAsiaTheme="minorEastAsia"/>
          <w:sz w:val="24"/>
          <w:szCs w:val="24"/>
        </w:rPr>
        <w:t>k</w:t>
      </w:r>
      <w:r>
        <w:rPr>
          <w:rFonts w:cs="宋体" w:asciiTheme="minorEastAsia" w:hAnsiTheme="minorEastAsia" w:eastAsiaTheme="minorEastAsia"/>
          <w:sz w:val="24"/>
          <w:szCs w:val="24"/>
        </w:rPr>
        <w:t>VA</w:t>
      </w:r>
      <w:r>
        <w:rPr>
          <w:rFonts w:hint="eastAsia" w:cs="宋体" w:asciiTheme="minorEastAsia" w:hAnsiTheme="minorEastAsia" w:eastAsiaTheme="minorEastAsia"/>
          <w:sz w:val="24"/>
          <w:szCs w:val="24"/>
        </w:rPr>
        <w:t>以上的港口船舶岸电系统应不少于</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套；</w:t>
      </w:r>
    </w:p>
    <w:p>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4.2.2 </w:t>
      </w:r>
      <w:r>
        <w:rPr>
          <w:rFonts w:hint="eastAsia" w:cs="宋体" w:asciiTheme="minorEastAsia" w:hAnsiTheme="minorEastAsia" w:eastAsiaTheme="minorEastAsia"/>
          <w:sz w:val="24"/>
          <w:szCs w:val="24"/>
        </w:rPr>
        <w:t>投标人注册资金须不低于</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000万人民币，且具备船舶岸电船载系统集成能力或码头岸电系统集成能力；</w:t>
      </w:r>
    </w:p>
    <w:p>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cs="宋体" w:asciiTheme="minorEastAsia" w:hAnsiTheme="minorEastAsia" w:eastAsiaTheme="minorEastAsia"/>
          <w:sz w:val="24"/>
          <w:szCs w:val="24"/>
        </w:rPr>
        <w:t xml:space="preserve">.3.3 </w:t>
      </w:r>
      <w:r>
        <w:rPr>
          <w:rFonts w:hint="eastAsia" w:cs="宋体" w:asciiTheme="minorEastAsia" w:hAnsiTheme="minorEastAsia" w:eastAsiaTheme="minorEastAsia"/>
          <w:sz w:val="24"/>
          <w:szCs w:val="24"/>
        </w:rPr>
        <w:t>投标人应具有机电工程施工总承包三级或电力工程施工总承包叁级以上资质；</w:t>
      </w:r>
    </w:p>
    <w:p>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2.4 </w:t>
      </w:r>
      <w:r>
        <w:rPr>
          <w:rFonts w:hint="eastAsia" w:cs="宋体" w:asciiTheme="minorEastAsia" w:hAnsiTheme="minorEastAsia" w:eastAsiaTheme="minorEastAsia"/>
          <w:sz w:val="24"/>
          <w:szCs w:val="24"/>
        </w:rPr>
        <w:t>本项目不接受联合体投标。</w:t>
      </w:r>
    </w:p>
    <w:p>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投标人不符合上述通用和专项条件的，其投标视为无效投标，不再参与后续评标。</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投标</w:t>
      </w:r>
      <w:bookmarkEnd w:id="5"/>
      <w:bookmarkEnd w:id="6"/>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5.1资格证明文件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投标资格证明文件至少应包含以下内容：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1）企业简介（须附单位地址，联系人，电话，传真、邮箱等）；</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2）加盖公章的有效营业执照及税务登记证副本复印件；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）由会计师事务所出具的</w:t>
      </w:r>
      <w:r>
        <w:rPr>
          <w:rFonts w:cs="宋体" w:asciiTheme="minorEastAsia" w:hAnsiTheme="minorEastAsia" w:eastAsiaTheme="minorEastAsia"/>
          <w:sz w:val="24"/>
          <w:szCs w:val="24"/>
        </w:rPr>
        <w:t>上一会计</w:t>
      </w:r>
      <w:r>
        <w:rPr>
          <w:rFonts w:hint="eastAsia" w:cs="宋体" w:asciiTheme="minorEastAsia" w:hAnsiTheme="minorEastAsia" w:eastAsiaTheme="minorEastAsia"/>
          <w:sz w:val="24"/>
          <w:szCs w:val="24"/>
        </w:rPr>
        <w:t>年度审计报告或者其他合法证明材料；</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w:t>
      </w:r>
      <w:bookmarkStart w:id="8" w:name="_Hlk63347797"/>
      <w:r>
        <w:rPr>
          <w:rFonts w:hint="eastAsia" w:cs="宋体" w:asciiTheme="minorEastAsia" w:hAnsiTheme="minorEastAsia" w:eastAsiaTheme="minorEastAsia"/>
          <w:sz w:val="24"/>
          <w:szCs w:val="24"/>
        </w:rPr>
        <w:t>资格证明文件原件根据招标人需要，应提供给招标人进行核对。</w:t>
      </w:r>
      <w:bookmarkEnd w:id="8"/>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（4）“4</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合格的投标人”中通用和专项条件要求的所有相关资格证明文件的复印件。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投标人提交的投标文件不符合上述规定的，视为无效投标，不再参与后续评标。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5.2投标文件内容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green"/>
        </w:rPr>
        <w:t>投标人按照“</w:t>
      </w:r>
      <w:r>
        <w:rPr>
          <w:rFonts w:cs="宋体" w:asciiTheme="minorEastAsia" w:hAnsiTheme="minorEastAsia" w:eastAsiaTheme="minorEastAsia"/>
          <w:sz w:val="24"/>
          <w:szCs w:val="24"/>
          <w:highlight w:val="green"/>
        </w:rPr>
        <w:t>6.</w:t>
      </w:r>
      <w:r>
        <w:rPr>
          <w:rFonts w:hint="eastAsia" w:cs="宋体" w:asciiTheme="minorEastAsia" w:hAnsiTheme="minorEastAsia" w:eastAsiaTheme="minorEastAsia"/>
          <w:sz w:val="24"/>
          <w:szCs w:val="24"/>
          <w:highlight w:val="green"/>
        </w:rPr>
        <w:t>投标文件格式”要求的格式和内容要求编制投标文件。</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5.3</w:t>
      </w:r>
      <w:r>
        <w:rPr>
          <w:rFonts w:hint="eastAsia" w:cs="宋体" w:asciiTheme="minorEastAsia" w:hAnsiTheme="minorEastAsia" w:eastAsiaTheme="minorEastAsia"/>
          <w:b w:val="0"/>
          <w:sz w:val="24"/>
          <w:szCs w:val="24"/>
        </w:rPr>
        <w:t>投标</w:t>
      </w:r>
      <w:r>
        <w:rPr>
          <w:rFonts w:cs="宋体" w:asciiTheme="minorEastAsia" w:hAnsiTheme="minorEastAsia" w:eastAsiaTheme="minorEastAsia"/>
          <w:b w:val="0"/>
          <w:sz w:val="24"/>
          <w:szCs w:val="24"/>
        </w:rPr>
        <w:t>文件递交</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投标人应于</w:t>
      </w:r>
      <w:r>
        <w:rPr>
          <w:rFonts w:cs="宋体" w:asciiTheme="minorEastAsia" w:hAnsiTheme="minorEastAsia" w:eastAsiaTheme="minorEastAsia"/>
          <w:sz w:val="24"/>
          <w:szCs w:val="24"/>
          <w:highlight w:val="yellow"/>
        </w:rPr>
        <w:t>202</w:t>
      </w:r>
      <w:r>
        <w:rPr>
          <w:rFonts w:hint="eastAsia" w:cs="宋体" w:asciiTheme="minorEastAsia" w:hAnsiTheme="minorEastAsia" w:eastAsiaTheme="minorEastAsia"/>
          <w:sz w:val="24"/>
          <w:szCs w:val="24"/>
          <w:highlight w:val="yellow"/>
        </w:rPr>
        <w:t>3年</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8</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月</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22</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日</w:t>
      </w:r>
      <w:r>
        <w:rPr>
          <w:rFonts w:hint="eastAsia" w:cs="宋体" w:asciiTheme="minorEastAsia" w:hAnsiTheme="minorEastAsia" w:eastAsiaTheme="minorEastAsia"/>
          <w:sz w:val="24"/>
          <w:szCs w:val="24"/>
          <w:highlight w:val="yellow"/>
          <w:lang w:val="en-US" w:eastAsia="zh-CN"/>
        </w:rPr>
        <w:t>下午5</w:t>
      </w:r>
      <w:r>
        <w:rPr>
          <w:rFonts w:cs="宋体" w:asciiTheme="minorEastAsia" w:hAnsiTheme="minorEastAsia" w:eastAsiaTheme="minorEastAsia"/>
          <w:sz w:val="24"/>
          <w:szCs w:val="24"/>
          <w:highlight w:val="yellow"/>
        </w:rPr>
        <w:t>:</w:t>
      </w:r>
      <w:r>
        <w:rPr>
          <w:rFonts w:hint="eastAsia" w:cs="宋体" w:asciiTheme="minorEastAsia" w:hAnsiTheme="minorEastAsia" w:eastAsiaTheme="minorEastAsia"/>
          <w:sz w:val="24"/>
          <w:szCs w:val="24"/>
          <w:highlight w:val="yellow"/>
          <w:lang w:val="en-US" w:eastAsia="zh-CN"/>
        </w:rPr>
        <w:t>0</w:t>
      </w:r>
      <w:r>
        <w:rPr>
          <w:rFonts w:cs="宋体" w:asciiTheme="minorEastAsia" w:hAnsiTheme="minorEastAsia" w:eastAsiaTheme="minorEastAsia"/>
          <w:sz w:val="24"/>
          <w:szCs w:val="24"/>
          <w:highlight w:val="yellow"/>
        </w:rPr>
        <w:t>0</w:t>
      </w:r>
      <w:r>
        <w:rPr>
          <w:rFonts w:hint="eastAsia" w:cs="宋体" w:asciiTheme="minorEastAsia" w:hAnsiTheme="minorEastAsia" w:eastAsiaTheme="minorEastAsia"/>
          <w:sz w:val="24"/>
          <w:szCs w:val="24"/>
        </w:rPr>
        <w:t xml:space="preserve">之前，将密封且加盖公章的材料送达至 </w:t>
      </w:r>
      <w:r>
        <w:rPr>
          <w:rFonts w:hint="eastAsia" w:cs="宋体" w:asciiTheme="minorEastAsia" w:hAnsiTheme="minorEastAsia" w:eastAsiaTheme="minorEastAsia"/>
          <w:bCs/>
          <w:sz w:val="24"/>
          <w:szCs w:val="24"/>
        </w:rPr>
        <w:t>福建省厦门市仙岳路4688号国贸中心南塔楼27楼</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风控</w:t>
      </w:r>
      <w:r>
        <w:rPr>
          <w:rFonts w:hint="eastAsia" w:cs="宋体" w:asciiTheme="minorEastAsia" w:hAnsiTheme="minorEastAsia" w:eastAsiaTheme="minorEastAsia"/>
          <w:sz w:val="24"/>
          <w:szCs w:val="24"/>
          <w:lang w:eastAsia="zh-Hans"/>
        </w:rPr>
        <w:t>法务部</w:t>
      </w:r>
      <w:r>
        <w:rPr>
          <w:rFonts w:hint="eastAsia" w:cs="宋体" w:asciiTheme="minorEastAsia" w:hAnsiTheme="minorEastAsia" w:eastAsiaTheme="minorEastAsia"/>
          <w:sz w:val="24"/>
          <w:szCs w:val="24"/>
        </w:rPr>
        <w:t>付国辉处，逾期不收。</w:t>
      </w:r>
    </w:p>
    <w:p>
      <w:pPr>
        <w:pStyle w:val="5"/>
        <w:spacing w:line="500" w:lineRule="exact"/>
        <w:ind w:firstLine="420"/>
        <w:rPr>
          <w:rFonts w:cs="宋体" w:asciiTheme="minorEastAsia" w:hAnsiTheme="minorEastAsia" w:eastAsiaTheme="minorEastAsia"/>
          <w:b w:val="0"/>
          <w:sz w:val="24"/>
          <w:szCs w:val="24"/>
          <w:highlight w:val="yellow"/>
        </w:rPr>
      </w:pPr>
      <w:r>
        <w:rPr>
          <w:rFonts w:hint="eastAsia" w:cs="宋体" w:asciiTheme="minorEastAsia" w:hAnsiTheme="minorEastAsia" w:eastAsiaTheme="minorEastAsia"/>
          <w:b w:val="0"/>
          <w:sz w:val="24"/>
          <w:szCs w:val="24"/>
          <w:highlight w:val="yellow"/>
        </w:rPr>
        <w:t>5</w:t>
      </w:r>
      <w:r>
        <w:rPr>
          <w:rFonts w:cs="宋体" w:asciiTheme="minorEastAsia" w:hAnsiTheme="minorEastAsia" w:eastAsiaTheme="minorEastAsia"/>
          <w:b w:val="0"/>
          <w:sz w:val="24"/>
          <w:szCs w:val="24"/>
          <w:highlight w:val="yellow"/>
        </w:rPr>
        <w:t>.4</w:t>
      </w:r>
      <w:r>
        <w:rPr>
          <w:rFonts w:hint="eastAsia" w:cs="宋体" w:asciiTheme="minorEastAsia" w:hAnsiTheme="minorEastAsia" w:eastAsiaTheme="minorEastAsia"/>
          <w:b w:val="0"/>
          <w:sz w:val="24"/>
          <w:szCs w:val="24"/>
          <w:highlight w:val="yellow"/>
        </w:rPr>
        <w:t>投标保证金</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5</w:t>
      </w:r>
      <w:r>
        <w:rPr>
          <w:rFonts w:cs="宋体" w:asciiTheme="minorEastAsia" w:hAnsiTheme="minorEastAsia" w:eastAsiaTheme="minorEastAsia"/>
          <w:sz w:val="24"/>
          <w:szCs w:val="24"/>
          <w:highlight w:val="yellow"/>
        </w:rPr>
        <w:t>.4.1投标保证金的金额：</w:t>
      </w:r>
      <w:r>
        <w:rPr>
          <w:rFonts w:hint="eastAsia" w:cs="宋体" w:asciiTheme="minorEastAsia" w:hAnsiTheme="minorEastAsia" w:eastAsiaTheme="minorEastAsia"/>
          <w:sz w:val="24"/>
          <w:szCs w:val="24"/>
          <w:highlight w:val="yellow"/>
        </w:rPr>
        <w:t>6</w:t>
      </w:r>
      <w:r>
        <w:rPr>
          <w:rFonts w:cs="宋体" w:asciiTheme="minorEastAsia" w:hAnsiTheme="minorEastAsia" w:eastAsiaTheme="minorEastAsia"/>
          <w:sz w:val="24"/>
          <w:szCs w:val="24"/>
          <w:highlight w:val="yellow"/>
        </w:rPr>
        <w:t>0000</w:t>
      </w:r>
      <w:r>
        <w:rPr>
          <w:rFonts w:hint="eastAsia" w:cs="宋体" w:asciiTheme="minorEastAsia" w:hAnsiTheme="minorEastAsia" w:eastAsiaTheme="minorEastAsia"/>
          <w:sz w:val="24"/>
          <w:szCs w:val="24"/>
          <w:highlight w:val="yellow"/>
        </w:rPr>
        <w:t>元（陆万元整）</w:t>
      </w:r>
    </w:p>
    <w:p>
      <w:pPr>
        <w:spacing w:line="500" w:lineRule="exact"/>
        <w:ind w:firstLine="480" w:firstLineChars="200"/>
        <w:rPr>
          <w:rFonts w:cs="宋体" w:asciiTheme="minorEastAsia" w:hAnsiTheme="minorEastAsia" w:eastAsiaTheme="minorEastAsia"/>
          <w:sz w:val="24"/>
          <w:szCs w:val="24"/>
          <w:highlight w:val="yellow"/>
        </w:rPr>
      </w:pPr>
      <w:r>
        <w:rPr>
          <w:rFonts w:cs="宋体" w:asciiTheme="minorEastAsia" w:hAnsiTheme="minorEastAsia" w:eastAsiaTheme="minorEastAsia"/>
          <w:sz w:val="24"/>
          <w:szCs w:val="24"/>
          <w:highlight w:val="yellow"/>
        </w:rPr>
        <w:t>5.4.2</w:t>
      </w:r>
      <w:r>
        <w:rPr>
          <w:rFonts w:hint="eastAsia" w:cs="宋体" w:asciiTheme="minorEastAsia" w:hAnsiTheme="minorEastAsia" w:eastAsiaTheme="minorEastAsia"/>
          <w:sz w:val="24"/>
          <w:szCs w:val="24"/>
          <w:highlight w:val="yellow"/>
        </w:rPr>
        <w:t>交款方式：</w:t>
      </w:r>
    </w:p>
    <w:p>
      <w:pPr>
        <w:spacing w:line="500" w:lineRule="exact"/>
        <w:ind w:firstLine="480" w:firstLineChars="200"/>
        <w:rPr>
          <w:rFonts w:hint="eastAsia" w:cs="宋体" w:asciiTheme="minorEastAsia" w:hAnsiTheme="minorEastAsia" w:eastAsiaTheme="minorEastAsia"/>
          <w:sz w:val="24"/>
          <w:szCs w:val="24"/>
          <w:highlight w:val="yellow"/>
          <w:lang w:eastAsia="zh-CN"/>
        </w:rPr>
      </w:pPr>
      <w:r>
        <w:rPr>
          <w:rFonts w:hint="eastAsia" w:cs="宋体" w:asciiTheme="minorEastAsia" w:hAnsiTheme="minorEastAsia" w:eastAsiaTheme="minorEastAsia"/>
          <w:sz w:val="24"/>
          <w:szCs w:val="24"/>
          <w:highlight w:val="yellow"/>
        </w:rPr>
        <w:t>可采用银行保函或转账汇款方式，从投标人基本账户递交。投标人交款时须注明“《“嘉庚号”科考船智能低碳港口船舶岸电系统采购项目》投标保证金”</w:t>
      </w:r>
      <w:r>
        <w:rPr>
          <w:rFonts w:hint="eastAsia" w:cs="宋体" w:asciiTheme="minorEastAsia" w:hAnsiTheme="minorEastAsia" w:eastAsiaTheme="minorEastAsia"/>
          <w:sz w:val="24"/>
          <w:szCs w:val="24"/>
          <w:highlight w:val="yellow"/>
          <w:lang w:eastAsia="zh-CN"/>
        </w:rPr>
        <w:t>。</w:t>
      </w:r>
    </w:p>
    <w:p>
      <w:pPr>
        <w:spacing w:line="500" w:lineRule="exact"/>
        <w:ind w:firstLine="480" w:firstLineChars="200"/>
        <w:rPr>
          <w:rFonts w:cs="宋体" w:asciiTheme="minorEastAsia" w:hAnsiTheme="minorEastAsia" w:eastAsiaTheme="minorEastAsia"/>
          <w:sz w:val="24"/>
          <w:szCs w:val="24"/>
          <w:highlight w:val="yellow"/>
        </w:rPr>
      </w:pPr>
      <w:r>
        <w:rPr>
          <w:rFonts w:cs="宋体" w:asciiTheme="minorEastAsia" w:hAnsiTheme="minorEastAsia" w:eastAsiaTheme="minorEastAsia"/>
          <w:sz w:val="24"/>
          <w:szCs w:val="24"/>
          <w:highlight w:val="yellow"/>
        </w:rPr>
        <w:t>5.4.3</w:t>
      </w:r>
      <w:r>
        <w:rPr>
          <w:rFonts w:hint="eastAsia" w:cs="宋体" w:asciiTheme="minorEastAsia" w:hAnsiTheme="minorEastAsia" w:eastAsiaTheme="minorEastAsia"/>
          <w:sz w:val="24"/>
          <w:szCs w:val="24"/>
          <w:highlight w:val="yellow"/>
        </w:rPr>
        <w:t>投标保证金收款账户信息：</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户名：</w:t>
      </w:r>
      <w:r>
        <w:rPr>
          <w:rFonts w:hint="eastAsia" w:cs="宋体" w:asciiTheme="minorEastAsia" w:hAnsiTheme="minorEastAsia" w:eastAsiaTheme="minorEastAsia"/>
          <w:bCs/>
          <w:sz w:val="24"/>
          <w:szCs w:val="24"/>
          <w:highlight w:val="yellow"/>
        </w:rPr>
        <w:t>厦门</w:t>
      </w:r>
      <w:r>
        <w:rPr>
          <w:rFonts w:hint="eastAsia" w:cs="宋体" w:asciiTheme="minorEastAsia" w:hAnsiTheme="minorEastAsia" w:eastAsiaTheme="minorEastAsia"/>
          <w:bCs/>
          <w:sz w:val="24"/>
          <w:szCs w:val="24"/>
          <w:highlight w:val="yellow"/>
          <w:lang w:eastAsia="zh-Hans"/>
        </w:rPr>
        <w:t>启润零碳</w:t>
      </w:r>
      <w:r>
        <w:rPr>
          <w:rFonts w:hint="eastAsia" w:cs="宋体" w:asciiTheme="minorEastAsia" w:hAnsiTheme="minorEastAsia" w:eastAsiaTheme="minorEastAsia"/>
          <w:bCs/>
          <w:sz w:val="24"/>
          <w:szCs w:val="24"/>
          <w:highlight w:val="yellow"/>
        </w:rPr>
        <w:t>数字科技有限公司</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账号：3515 0198 0301 0000 2476</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开户行：中国建设银行股份有限公司厦门湖滨支行</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5.4</w:t>
      </w:r>
      <w:r>
        <w:rPr>
          <w:rFonts w:cs="宋体" w:asciiTheme="minorEastAsia" w:hAnsiTheme="minorEastAsia" w:eastAsiaTheme="minorEastAsia"/>
          <w:sz w:val="24"/>
          <w:szCs w:val="24"/>
          <w:highlight w:val="yellow"/>
        </w:rPr>
        <w:t>.4</w:t>
      </w:r>
      <w:r>
        <w:rPr>
          <w:rFonts w:hint="eastAsia" w:cs="宋体" w:asciiTheme="minorEastAsia" w:hAnsiTheme="minorEastAsia" w:eastAsiaTheme="minorEastAsia"/>
          <w:sz w:val="24"/>
          <w:szCs w:val="24"/>
          <w:highlight w:val="yellow"/>
        </w:rPr>
        <w:t>投标保证金处理</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未中标投标人递交的投标保证金将于定标后</w:t>
      </w:r>
      <w:r>
        <w:rPr>
          <w:rFonts w:cs="宋体" w:asciiTheme="minorEastAsia" w:hAnsiTheme="minorEastAsia" w:eastAsiaTheme="minorEastAsia"/>
          <w:sz w:val="24"/>
          <w:szCs w:val="24"/>
          <w:highlight w:val="yellow"/>
        </w:rPr>
        <w:t>15</w:t>
      </w:r>
      <w:r>
        <w:rPr>
          <w:rFonts w:hint="eastAsia" w:cs="宋体" w:asciiTheme="minorEastAsia" w:hAnsiTheme="minorEastAsia" w:eastAsiaTheme="minorEastAsia"/>
          <w:sz w:val="24"/>
          <w:szCs w:val="24"/>
          <w:highlight w:val="yellow"/>
        </w:rPr>
        <w:t>日内退还至投标人基本账户。</w:t>
      </w:r>
    </w:p>
    <w:p>
      <w:pPr>
        <w:spacing w:line="500" w:lineRule="exact"/>
        <w:ind w:firstLine="480" w:firstLineChars="200"/>
        <w:rPr>
          <w:rFonts w:cs="宋体"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rPr>
        <w:t>中标投标人递交的投标保证金自动转为履约保证金，未满中标价10%的部分中标人按期补齐。履约保证金自合同生效之日起生效，在合同设备验收证书或验收款支付函签署之日起28日后失效。</w:t>
      </w:r>
    </w:p>
    <w:p>
      <w:pPr>
        <w:spacing w:line="500" w:lineRule="exact"/>
        <w:ind w:firstLine="480" w:firstLineChars="200"/>
        <w:rPr>
          <w:rFonts w:hint="default" w:cs="宋体" w:asciiTheme="minorEastAsia" w:hAnsiTheme="minorEastAsia" w:eastAsiaTheme="minorEastAsia"/>
          <w:sz w:val="24"/>
          <w:szCs w:val="24"/>
          <w:highlight w:val="yellow"/>
          <w:lang w:val="en-US" w:eastAsia="zh-CN"/>
        </w:rPr>
      </w:pPr>
      <w:r>
        <w:rPr>
          <w:rFonts w:hint="eastAsia" w:cs="宋体" w:asciiTheme="minorEastAsia" w:hAnsiTheme="minorEastAsia" w:eastAsiaTheme="minorEastAsia"/>
          <w:sz w:val="24"/>
          <w:szCs w:val="24"/>
          <w:highlight w:val="yellow"/>
        </w:rPr>
        <w:t>交款截止时间：投标截止时间前（投标保证金的交纳以银行到账时间为准）。</w:t>
      </w:r>
      <w:r>
        <w:rPr>
          <w:rFonts w:hint="eastAsia" w:cs="宋体" w:asciiTheme="minorEastAsia" w:hAnsiTheme="minorEastAsia" w:eastAsiaTheme="minorEastAsia"/>
          <w:sz w:val="24"/>
          <w:szCs w:val="24"/>
          <w:highlight w:val="yellow"/>
          <w:lang w:val="en-US" w:eastAsia="zh-CN"/>
        </w:rPr>
        <w:t>投标人未按照招标文件要求交纳投标保证金的,投标无效。</w:t>
      </w:r>
    </w:p>
    <w:p>
      <w:pPr>
        <w:spacing w:line="500" w:lineRule="exact"/>
        <w:ind w:firstLine="420" w:firstLineChars="200"/>
      </w:pP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5.5投标有效期</w:t>
      </w:r>
    </w:p>
    <w:p>
      <w:pPr>
        <w:spacing w:line="500" w:lineRule="exact"/>
        <w:ind w:firstLine="720" w:firstLineChars="300"/>
        <w:rPr>
          <w:rFonts w:cs="宋体" w:asciiTheme="minorEastAsia" w:hAnsiTheme="minorEastAsia" w:eastAsiaTheme="minorEastAsia"/>
          <w:sz w:val="24"/>
          <w:szCs w:val="24"/>
        </w:rPr>
      </w:pPr>
      <w:r>
        <w:rPr>
          <w:rFonts w:cs="宋体" w:asciiTheme="minorEastAsia" w:hAnsiTheme="minorEastAsia" w:eastAsiaTheme="minorEastAsia"/>
          <w:sz w:val="24"/>
          <w:szCs w:val="24"/>
        </w:rPr>
        <w:t>5.5.1《投标书》在投标截至日后90天内有效。</w:t>
      </w:r>
    </w:p>
    <w:p>
      <w:pPr>
        <w:spacing w:line="500" w:lineRule="exact"/>
        <w:ind w:firstLine="720" w:firstLineChars="300"/>
        <w:rPr>
          <w:rFonts w:cs="宋体" w:asciiTheme="minorEastAsia" w:hAnsiTheme="minorEastAsia" w:eastAsiaTheme="minorEastAsia"/>
          <w:sz w:val="24"/>
          <w:szCs w:val="24"/>
        </w:rPr>
      </w:pPr>
      <w:r>
        <w:rPr>
          <w:rFonts w:cs="宋体" w:asciiTheme="minorEastAsia" w:hAnsiTheme="minorEastAsia" w:eastAsiaTheme="minorEastAsia"/>
          <w:sz w:val="24"/>
          <w:szCs w:val="24"/>
        </w:rPr>
        <w:t>5.5.2在原定的投标有效期满之前，如果出现特殊情况，招标人可向投标人提出延长有效期的要求，这种要求和答复应以书面</w:t>
      </w:r>
      <w:r>
        <w:rPr>
          <w:rFonts w:hint="eastAsia" w:cs="宋体" w:asciiTheme="minorEastAsia" w:hAnsiTheme="minorEastAsia" w:eastAsiaTheme="minorEastAsia"/>
          <w:sz w:val="24"/>
          <w:szCs w:val="24"/>
        </w:rPr>
        <w:t>或者电子邮件</w:t>
      </w:r>
      <w:r>
        <w:rPr>
          <w:rFonts w:cs="宋体" w:asciiTheme="minorEastAsia" w:hAnsiTheme="minorEastAsia" w:eastAsiaTheme="minorEastAsia"/>
          <w:sz w:val="24"/>
          <w:szCs w:val="24"/>
        </w:rPr>
        <w:t>的形式进行。投标人可以拒绝这种要求。同意延期的投标人，不需要也不允许修改投标书。</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5.6投标文件的份数和签署</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5.6.1投标人提交投标文件共</w:t>
      </w:r>
      <w:r>
        <w:rPr>
          <w:rFonts w:hint="eastAsia" w:cs="宋体" w:asciiTheme="minorEastAsia" w:hAnsiTheme="minorEastAsia" w:eastAsiaTheme="minorEastAsia"/>
          <w:bCs/>
          <w:sz w:val="24"/>
          <w:szCs w:val="24"/>
        </w:rPr>
        <w:t>叁</w:t>
      </w:r>
      <w:r>
        <w:rPr>
          <w:rFonts w:cs="宋体" w:asciiTheme="minorEastAsia" w:hAnsiTheme="minorEastAsia" w:eastAsiaTheme="minorEastAsia"/>
          <w:bCs/>
          <w:sz w:val="24"/>
          <w:szCs w:val="24"/>
        </w:rPr>
        <w:t>份,正本壹份,副本壹份</w:t>
      </w:r>
      <w:r>
        <w:rPr>
          <w:rFonts w:hint="eastAsia" w:cs="宋体" w:asciiTheme="minorEastAsia" w:hAnsiTheme="minorEastAsia" w:eastAsiaTheme="minorEastAsia"/>
          <w:bCs/>
          <w:sz w:val="24"/>
          <w:szCs w:val="24"/>
        </w:rPr>
        <w:t>，电子文档一份（电子文档与投标正本内容及格式应严格一致，任何不一致的后果由投标人承担）</w:t>
      </w:r>
      <w:r>
        <w:rPr>
          <w:rFonts w:cs="宋体" w:asciiTheme="minorEastAsia" w:hAnsiTheme="minorEastAsia" w:eastAsiaTheme="minorEastAsia"/>
          <w:bCs/>
          <w:sz w:val="24"/>
          <w:szCs w:val="24"/>
        </w:rPr>
        <w:t>。</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5.6.2投标文件的正本和副本均需打印或使用不褪色的蓝、黑墨水笔书写，字体应清晰易于辨认，并在招标文件封面的右上角清楚地注明“正本”或“副本”或“</w:t>
      </w:r>
      <w:r>
        <w:rPr>
          <w:rFonts w:hint="eastAsia" w:cs="宋体" w:asciiTheme="minorEastAsia" w:hAnsiTheme="minorEastAsia" w:eastAsiaTheme="minorEastAsia"/>
          <w:bCs/>
          <w:sz w:val="24"/>
          <w:szCs w:val="24"/>
        </w:rPr>
        <w:t>电子文档</w:t>
      </w:r>
      <w:r>
        <w:rPr>
          <w:rFonts w:cs="宋体" w:asciiTheme="minorEastAsia" w:hAnsiTheme="minorEastAsia" w:eastAsiaTheme="minorEastAsia"/>
          <w:bCs/>
          <w:sz w:val="24"/>
          <w:szCs w:val="24"/>
        </w:rPr>
        <w:t>”。正本和副本内容不一致之处，以正本为准。</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5.6.3投标文件封面、投标函均应加盖投标人印章（投标报价材料须分册装订</w:t>
      </w:r>
      <w:r>
        <w:rPr>
          <w:rFonts w:hint="eastAsia" w:cs="宋体" w:asciiTheme="minorEastAsia" w:hAnsiTheme="minorEastAsia" w:eastAsiaTheme="minorEastAsia"/>
          <w:bCs/>
          <w:sz w:val="24"/>
          <w:szCs w:val="24"/>
        </w:rPr>
        <w:t>、</w:t>
      </w:r>
      <w:r>
        <w:rPr>
          <w:rFonts w:cs="宋体" w:asciiTheme="minorEastAsia" w:hAnsiTheme="minorEastAsia" w:eastAsiaTheme="minorEastAsia"/>
          <w:bCs/>
          <w:sz w:val="24"/>
          <w:szCs w:val="24"/>
        </w:rPr>
        <w:t>单独密封</w:t>
      </w:r>
      <w:r>
        <w:rPr>
          <w:rFonts w:hint="eastAsia" w:cs="宋体" w:asciiTheme="minorEastAsia" w:hAnsiTheme="minorEastAsia" w:eastAsiaTheme="minorEastAsia"/>
          <w:bCs/>
          <w:sz w:val="24"/>
          <w:szCs w:val="24"/>
        </w:rPr>
        <w:t>包装</w:t>
      </w:r>
      <w:r>
        <w:rPr>
          <w:rFonts w:cs="宋体" w:asciiTheme="minorEastAsia" w:hAnsiTheme="minorEastAsia" w:eastAsiaTheme="minorEastAsia"/>
          <w:bCs/>
          <w:sz w:val="24"/>
          <w:szCs w:val="24"/>
        </w:rPr>
        <w:t>，且封面需注明项目名称和编号。由委托人签字或盖章的投标文件中须同时提交投标文件签署授权委托书。投标文件签署授权委托书格式、签字、盖章及内容均应符合要求，否则投标文件签署委托书无效。</w:t>
      </w:r>
    </w:p>
    <w:p>
      <w:pPr>
        <w:spacing w:line="5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5.6.4除投标人对错误处需修改外,全套投标文件应无涂改或行间插字、增删。如有修改处由投标人加盖投标人的印章或由投标人法定代表</w:t>
      </w:r>
      <w:r>
        <w:rPr>
          <w:rFonts w:hint="eastAsia" w:cs="宋体" w:asciiTheme="minorEastAsia" w:hAnsiTheme="minorEastAsia" w:eastAsiaTheme="minorEastAsia"/>
          <w:bCs/>
          <w:sz w:val="24"/>
          <w:szCs w:val="24"/>
        </w:rPr>
        <w:t>人签字或盖章。</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w:t>
      </w:r>
      <w:r>
        <w:rPr>
          <w:rFonts w:hint="eastAsia" w:cs="宋体" w:asciiTheme="minorEastAsia" w:hAnsiTheme="minorEastAsia" w:eastAsiaTheme="minorEastAsia"/>
          <w:b w:val="0"/>
          <w:sz w:val="24"/>
          <w:szCs w:val="24"/>
        </w:rPr>
        <w:t>7</w:t>
      </w:r>
      <w:r>
        <w:rPr>
          <w:rFonts w:cs="宋体" w:asciiTheme="minorEastAsia" w:hAnsiTheme="minorEastAsia" w:eastAsiaTheme="minorEastAsia"/>
          <w:b w:val="0"/>
          <w:sz w:val="24"/>
          <w:szCs w:val="24"/>
        </w:rPr>
        <w:t>投标</w:t>
      </w:r>
      <w:r>
        <w:rPr>
          <w:rFonts w:hint="eastAsia" w:cs="宋体" w:asciiTheme="minorEastAsia" w:hAnsiTheme="minorEastAsia" w:eastAsiaTheme="minorEastAsia"/>
          <w:b w:val="0"/>
          <w:sz w:val="24"/>
          <w:szCs w:val="24"/>
        </w:rPr>
        <w:t>人</w:t>
      </w:r>
      <w:r>
        <w:rPr>
          <w:rFonts w:cs="宋体" w:asciiTheme="minorEastAsia" w:hAnsiTheme="minorEastAsia" w:eastAsiaTheme="minorEastAsia"/>
          <w:b w:val="0"/>
          <w:sz w:val="24"/>
          <w:szCs w:val="24"/>
        </w:rPr>
        <w:t>的投标文件，概不退还。投标人应自行承担在投标过程中所涉及的一切费用。</w:t>
      </w:r>
    </w:p>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投标文件格式</w:t>
      </w:r>
    </w:p>
    <w:p>
      <w:pPr>
        <w:jc w:val="center"/>
        <w:rPr>
          <w:rFonts w:ascii="Times New Roman" w:hAnsi="Times New Roman" w:eastAsia="黑体"/>
          <w:sz w:val="28"/>
          <w:szCs w:val="28"/>
          <w:u w:val="single"/>
        </w:rPr>
      </w:pPr>
      <w:r>
        <w:rPr>
          <w:rFonts w:ascii="Times New Roman" w:hAnsi="Times New Roman" w:eastAsia="黑体"/>
          <w:sz w:val="28"/>
          <w:szCs w:val="28"/>
          <w:u w:val="single"/>
        </w:rPr>
        <w:br w:type="page"/>
      </w: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r>
        <w:rPr>
          <w:rFonts w:hint="eastAsia" w:ascii="Times New Roman" w:hAnsi="Times New Roman" w:eastAsia="黑体"/>
          <w:sz w:val="28"/>
          <w:szCs w:val="28"/>
        </w:rPr>
        <w:t>“嘉庚号”智能低碳港口船舶岸电系统采购项目</w:t>
      </w:r>
    </w:p>
    <w:p>
      <w:pPr>
        <w:rPr>
          <w:rFonts w:ascii="Times New Roman" w:hAnsi="Times New Roman" w:eastAsia="黑体"/>
          <w:color w:val="000000"/>
          <w:sz w:val="20"/>
        </w:rPr>
      </w:pPr>
    </w:p>
    <w:p>
      <w:pPr>
        <w:rPr>
          <w:rFonts w:ascii="Times New Roman" w:hAnsi="Times New Roman" w:eastAsia="黑体"/>
          <w:color w:val="000000"/>
          <w:sz w:val="20"/>
        </w:rPr>
      </w:pPr>
    </w:p>
    <w:p>
      <w:pPr>
        <w:rPr>
          <w:rFonts w:ascii="Times New Roman" w:hAnsi="Times New Roman" w:eastAsia="黑体"/>
          <w:color w:val="000000"/>
          <w:sz w:val="20"/>
        </w:rPr>
      </w:pPr>
    </w:p>
    <w:p>
      <w:pPr>
        <w:rPr>
          <w:rFonts w:ascii="Times New Roman" w:hAnsi="Times New Roman" w:eastAsia="黑体"/>
          <w:color w:val="000000"/>
          <w:sz w:val="20"/>
        </w:rPr>
      </w:pPr>
    </w:p>
    <w:p>
      <w:pPr>
        <w:rPr>
          <w:rFonts w:ascii="Times New Roman" w:hAnsi="Times New Roman" w:eastAsia="黑体"/>
          <w:color w:val="000000"/>
          <w:sz w:val="20"/>
        </w:rPr>
      </w:pPr>
    </w:p>
    <w:p>
      <w:pPr>
        <w:jc w:val="center"/>
        <w:rPr>
          <w:rFonts w:ascii="Times New Roman" w:hAnsi="Times New Roman" w:eastAsia="黑体"/>
          <w:color w:val="000000"/>
          <w:sz w:val="44"/>
        </w:rPr>
      </w:pPr>
      <w:r>
        <w:rPr>
          <w:rFonts w:ascii="Times New Roman" w:hAnsi="Times New Roman" w:eastAsia="黑体"/>
          <w:color w:val="000000"/>
          <w:sz w:val="44"/>
        </w:rPr>
        <w:t>投 标 文 件</w:t>
      </w:r>
    </w:p>
    <w:p>
      <w:pPr>
        <w:jc w:val="center"/>
        <w:rPr>
          <w:rFonts w:ascii="Times New Roman" w:hAnsi="Times New Roman" w:eastAsia="黑体"/>
          <w:color w:val="000000"/>
          <w:sz w:val="44"/>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spacing w:line="360" w:lineRule="auto"/>
        <w:rPr>
          <w:rFonts w:ascii="Times New Roman" w:hAnsi="Times New Roman" w:eastAsia="黑体"/>
          <w:color w:val="000000"/>
          <w:sz w:val="28"/>
        </w:rPr>
      </w:pPr>
    </w:p>
    <w:p>
      <w:pPr>
        <w:spacing w:line="360" w:lineRule="auto"/>
        <w:ind w:firstLine="1120" w:firstLineChars="400"/>
        <w:rPr>
          <w:rFonts w:ascii="Times New Roman" w:hAnsi="Times New Roman" w:eastAsia="黑体"/>
          <w:color w:val="000000"/>
          <w:sz w:val="28"/>
          <w:u w:val="single"/>
        </w:rPr>
      </w:pPr>
      <w:r>
        <w:rPr>
          <w:rFonts w:ascii="Times New Roman" w:hAnsi="Times New Roman" w:eastAsia="黑体"/>
          <w:color w:val="000000"/>
          <w:sz w:val="28"/>
        </w:rPr>
        <w:t>投标人：</w:t>
      </w:r>
      <w:r>
        <w:rPr>
          <w:rFonts w:ascii="Times New Roman" w:hAnsi="Times New Roman"/>
          <w:color w:val="000000"/>
          <w:u w:val="single"/>
        </w:rPr>
        <w:t xml:space="preserve">                                            </w:t>
      </w:r>
      <w:r>
        <w:rPr>
          <w:rFonts w:ascii="Times New Roman" w:hAnsi="Times New Roman" w:eastAsia="黑体"/>
          <w:color w:val="000000"/>
          <w:sz w:val="28"/>
        </w:rPr>
        <w:t>（盖单位章）</w:t>
      </w:r>
    </w:p>
    <w:p>
      <w:pPr>
        <w:spacing w:line="360" w:lineRule="auto"/>
        <w:ind w:firstLine="1120" w:firstLineChars="400"/>
        <w:jc w:val="left"/>
        <w:rPr>
          <w:rFonts w:ascii="Times New Roman" w:hAnsi="Times New Roman" w:eastAsia="黑体"/>
          <w:color w:val="000000"/>
          <w:sz w:val="28"/>
        </w:rPr>
      </w:pPr>
      <w:r>
        <w:rPr>
          <w:rFonts w:ascii="Times New Roman" w:hAnsi="Times New Roman" w:eastAsia="黑体"/>
          <w:color w:val="000000"/>
          <w:sz w:val="28"/>
        </w:rPr>
        <w:t>法定代表人（单位负责人）或其委托代理人：</w:t>
      </w:r>
      <w:r>
        <w:rPr>
          <w:rFonts w:ascii="Times New Roman" w:hAnsi="Times New Roman"/>
          <w:color w:val="000000"/>
          <w:u w:val="single"/>
        </w:rPr>
        <w:t xml:space="preserve">       </w:t>
      </w:r>
      <w:r>
        <w:rPr>
          <w:rFonts w:ascii="Times New Roman" w:hAnsi="Times New Roman" w:eastAsia="黑体"/>
          <w:color w:val="000000"/>
          <w:sz w:val="28"/>
        </w:rPr>
        <w:t>（签字）</w:t>
      </w:r>
    </w:p>
    <w:p>
      <w:pPr>
        <w:jc w:val="center"/>
        <w:rPr>
          <w:rFonts w:ascii="Times New Roman" w:hAnsi="Times New Roman" w:eastAsia="黑体"/>
          <w:color w:val="000000"/>
          <w:sz w:val="28"/>
        </w:rPr>
      </w:pPr>
    </w:p>
    <w:p>
      <w:pPr>
        <w:spacing w:line="400" w:lineRule="exact"/>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r>
        <w:rPr>
          <w:rFonts w:ascii="Times New Roman" w:hAnsi="Times New Roman"/>
          <w:color w:val="000000"/>
        </w:rPr>
        <w:br w:type="page"/>
      </w:r>
    </w:p>
    <w:p>
      <w:pPr>
        <w:pStyle w:val="14"/>
        <w:jc w:val="center"/>
        <w:rPr>
          <w:sz w:val="32"/>
          <w:szCs w:val="32"/>
          <w:lang w:eastAsia="zh-CN"/>
        </w:rPr>
      </w:pPr>
      <w:bookmarkStart w:id="9" w:name="_Toc501460785"/>
      <w:r>
        <w:rPr>
          <w:sz w:val="32"/>
          <w:szCs w:val="32"/>
          <w:lang w:eastAsia="zh-CN"/>
        </w:rPr>
        <w:t>目</w:t>
      </w:r>
      <w:r>
        <w:rPr>
          <w:rFonts w:hint="eastAsia"/>
          <w:sz w:val="32"/>
          <w:szCs w:val="32"/>
          <w:lang w:eastAsia="zh-CN"/>
        </w:rPr>
        <w:t xml:space="preserve"> </w:t>
      </w:r>
      <w:r>
        <w:rPr>
          <w:sz w:val="32"/>
          <w:szCs w:val="32"/>
          <w:lang w:eastAsia="zh-CN"/>
        </w:rPr>
        <w:t xml:space="preserve"> 录</w:t>
      </w:r>
      <w:bookmarkEnd w:id="9"/>
    </w:p>
    <w:p>
      <w:pPr>
        <w:spacing w:line="540" w:lineRule="exact"/>
        <w:rPr>
          <w:rFonts w:ascii="Times New Roman" w:hAnsi="Times New Roman"/>
        </w:rPr>
      </w:pPr>
      <w:r>
        <w:rPr>
          <w:rFonts w:ascii="Times New Roman" w:hAnsi="Times New Roman"/>
        </w:rPr>
        <w:t>一、投标函</w:t>
      </w:r>
    </w:p>
    <w:p>
      <w:pPr>
        <w:spacing w:line="540" w:lineRule="exact"/>
        <w:rPr>
          <w:rFonts w:ascii="Times New Roman" w:hAnsi="Times New Roman"/>
        </w:rPr>
      </w:pPr>
      <w:r>
        <w:rPr>
          <w:rFonts w:ascii="Times New Roman" w:hAnsi="Times New Roman"/>
        </w:rPr>
        <w:t>二、法定代表人（单位负责人）身份证明（适用于无委托代理人的情况）</w:t>
      </w:r>
    </w:p>
    <w:p>
      <w:pPr>
        <w:spacing w:line="540" w:lineRule="exact"/>
        <w:rPr>
          <w:rFonts w:ascii="Times New Roman" w:hAnsi="Times New Roman"/>
        </w:rPr>
      </w:pPr>
      <w:r>
        <w:rPr>
          <w:rFonts w:ascii="Times New Roman" w:hAnsi="Times New Roman"/>
        </w:rPr>
        <w:t>二、授权委托书（适用于有委托代理人的情况）</w:t>
      </w:r>
    </w:p>
    <w:p>
      <w:pPr>
        <w:spacing w:line="540" w:lineRule="exact"/>
        <w:rPr>
          <w:rFonts w:ascii="Times New Roman" w:hAnsi="Times New Roman"/>
        </w:rPr>
      </w:pPr>
      <w:r>
        <w:rPr>
          <w:rFonts w:ascii="Times New Roman" w:hAnsi="Times New Roman"/>
        </w:rPr>
        <w:t>三、投标保证金</w:t>
      </w:r>
    </w:p>
    <w:p>
      <w:pPr>
        <w:spacing w:line="540" w:lineRule="exact"/>
        <w:rPr>
          <w:rFonts w:ascii="Times New Roman" w:hAnsi="Times New Roman"/>
        </w:rPr>
      </w:pPr>
      <w:r>
        <w:rPr>
          <w:rFonts w:ascii="Times New Roman" w:hAnsi="Times New Roman"/>
        </w:rPr>
        <w:t>四、商务和技术偏差表</w:t>
      </w:r>
    </w:p>
    <w:p>
      <w:pPr>
        <w:spacing w:line="540" w:lineRule="exact"/>
        <w:rPr>
          <w:rFonts w:ascii="Times New Roman" w:hAnsi="Times New Roman"/>
        </w:rPr>
      </w:pPr>
      <w:r>
        <w:rPr>
          <w:rFonts w:ascii="Times New Roman" w:hAnsi="Times New Roman"/>
        </w:rPr>
        <w:t>五、分项报价表</w:t>
      </w:r>
    </w:p>
    <w:p>
      <w:pPr>
        <w:spacing w:line="540" w:lineRule="exact"/>
        <w:rPr>
          <w:rFonts w:ascii="Times New Roman" w:hAnsi="Times New Roman"/>
        </w:rPr>
      </w:pPr>
      <w:r>
        <w:rPr>
          <w:rFonts w:ascii="Times New Roman" w:hAnsi="Times New Roman"/>
        </w:rPr>
        <w:t>六、资格审查资料</w:t>
      </w:r>
    </w:p>
    <w:p>
      <w:pPr>
        <w:spacing w:line="540" w:lineRule="exact"/>
        <w:rPr>
          <w:rFonts w:ascii="Times New Roman" w:hAnsi="Times New Roman"/>
        </w:rPr>
      </w:pPr>
      <w:r>
        <w:rPr>
          <w:rFonts w:ascii="Times New Roman" w:hAnsi="Times New Roman"/>
        </w:rPr>
        <w:t>七、投标设备技术性能指标的详细描述</w:t>
      </w:r>
    </w:p>
    <w:p>
      <w:pPr>
        <w:spacing w:line="540" w:lineRule="exact"/>
        <w:rPr>
          <w:rFonts w:ascii="Times New Roman" w:hAnsi="Times New Roman"/>
        </w:rPr>
      </w:pPr>
      <w:r>
        <w:rPr>
          <w:rFonts w:ascii="Times New Roman" w:hAnsi="Times New Roman"/>
        </w:rPr>
        <w:t>八、技</w:t>
      </w:r>
      <w:bookmarkStart w:id="10" w:name="_Toc369531690"/>
      <w:bookmarkStart w:id="11" w:name="_Toc15118"/>
      <w:r>
        <w:rPr>
          <w:rFonts w:ascii="Times New Roman" w:hAnsi="Times New Roman"/>
        </w:rPr>
        <w:t>术支持</w:t>
      </w:r>
      <w:bookmarkEnd w:id="10"/>
      <w:r>
        <w:rPr>
          <w:rFonts w:ascii="Times New Roman" w:hAnsi="Times New Roman"/>
        </w:rPr>
        <w:t>资</w:t>
      </w:r>
      <w:bookmarkEnd w:id="11"/>
      <w:r>
        <w:rPr>
          <w:rFonts w:ascii="Times New Roman" w:hAnsi="Times New Roman"/>
        </w:rPr>
        <w:t>料</w:t>
      </w:r>
    </w:p>
    <w:p>
      <w:pPr>
        <w:spacing w:line="540" w:lineRule="exact"/>
        <w:rPr>
          <w:rFonts w:ascii="Times New Roman" w:hAnsi="Times New Roman"/>
        </w:rPr>
      </w:pPr>
      <w:bookmarkStart w:id="12" w:name="_Toc247514232"/>
      <w:bookmarkStart w:id="13" w:name="_Toc300835204"/>
      <w:bookmarkStart w:id="14" w:name="_Toc247527819"/>
      <w:r>
        <w:rPr>
          <w:rFonts w:ascii="Times New Roman" w:hAnsi="Times New Roman"/>
        </w:rPr>
        <w:t>九、</w:t>
      </w:r>
      <w:bookmarkEnd w:id="12"/>
      <w:bookmarkEnd w:id="13"/>
      <w:bookmarkEnd w:id="14"/>
      <w:r>
        <w:rPr>
          <w:rFonts w:ascii="Times New Roman" w:hAnsi="Times New Roman"/>
        </w:rPr>
        <w:t>技术服务和质保期服务计划</w:t>
      </w:r>
    </w:p>
    <w:p>
      <w:pPr>
        <w:spacing w:line="540" w:lineRule="exact"/>
        <w:rPr>
          <w:rFonts w:ascii="Times New Roman" w:hAnsi="Times New Roman"/>
        </w:rPr>
      </w:pPr>
      <w:r>
        <w:rPr>
          <w:rFonts w:ascii="Times New Roman" w:hAnsi="Times New Roman"/>
        </w:rPr>
        <w:t>十、</w:t>
      </w:r>
      <w:bookmarkStart w:id="15" w:name="_Toc352691655"/>
      <w:bookmarkStart w:id="16" w:name="_Toc7039"/>
      <w:bookmarkStart w:id="17" w:name="_Toc369531691"/>
      <w:r>
        <w:rPr>
          <w:rFonts w:hint="eastAsia" w:ascii="Times New Roman" w:hAnsi="Times New Roman"/>
        </w:rPr>
        <w:t>廉洁投标承诺书</w:t>
      </w:r>
    </w:p>
    <w:p>
      <w:pPr>
        <w:spacing w:line="540" w:lineRule="exact"/>
        <w:rPr>
          <w:rFonts w:hint="default" w:ascii="Times New Roman" w:hAnsi="Times New Roman" w:eastAsia="宋体"/>
          <w:lang w:val="en-US" w:eastAsia="zh-CN"/>
        </w:rPr>
      </w:pPr>
      <w:r>
        <w:rPr>
          <w:rFonts w:hint="eastAsia" w:ascii="Times New Roman" w:hAnsi="Times New Roman"/>
          <w:lang w:val="en-US" w:eastAsia="zh-CN"/>
        </w:rPr>
        <w:t>十一、其它资料</w:t>
      </w:r>
    </w:p>
    <w:p>
      <w:pPr>
        <w:spacing w:line="540" w:lineRule="exact"/>
        <w:rPr>
          <w:rFonts w:ascii="Times New Roman" w:hAnsi="Times New Roman"/>
          <w:sz w:val="20"/>
        </w:rPr>
      </w:pPr>
      <w:r>
        <w:rPr>
          <w:rFonts w:ascii="Times New Roman" w:hAnsi="Times New Roman"/>
        </w:rPr>
        <w:br w:type="page"/>
      </w:r>
    </w:p>
    <w:bookmarkEnd w:id="15"/>
    <w:bookmarkEnd w:id="16"/>
    <w:bookmarkEnd w:id="17"/>
    <w:p>
      <w:pPr>
        <w:spacing w:before="312" w:beforeLines="100" w:after="312" w:afterLines="100" w:line="360" w:lineRule="auto"/>
        <w:ind w:right="561"/>
        <w:jc w:val="center"/>
        <w:rPr>
          <w:rFonts w:cs="宋体" w:asciiTheme="minorEastAsia" w:hAnsiTheme="minorEastAsia" w:eastAsiaTheme="minorEastAsia"/>
          <w:sz w:val="28"/>
          <w:szCs w:val="28"/>
        </w:rPr>
      </w:pPr>
      <w:bookmarkStart w:id="18" w:name="_Toc501460786"/>
      <w:r>
        <w:rPr>
          <w:rFonts w:cs="宋体" w:asciiTheme="minorEastAsia" w:hAnsiTheme="minorEastAsia" w:eastAsiaTheme="minorEastAsia"/>
          <w:sz w:val="28"/>
          <w:szCs w:val="28"/>
        </w:rPr>
        <w:t>一、投标</w:t>
      </w:r>
      <w:bookmarkStart w:id="19" w:name="_Toc6931"/>
      <w:bookmarkStart w:id="20" w:name="_Toc369531692"/>
      <w:bookmarkStart w:id="21" w:name="_Toc352691656"/>
      <w:r>
        <w:rPr>
          <w:rFonts w:cs="宋体" w:asciiTheme="minorEastAsia" w:hAnsiTheme="minorEastAsia" w:eastAsiaTheme="minorEastAsia"/>
          <w:sz w:val="28"/>
          <w:szCs w:val="28"/>
        </w:rPr>
        <w:t>函</w:t>
      </w:r>
      <w:bookmarkEnd w:id="18"/>
    </w:p>
    <w:bookmarkEnd w:id="19"/>
    <w:bookmarkEnd w:id="20"/>
    <w:bookmarkEnd w:id="21"/>
    <w:p>
      <w:pPr>
        <w:spacing w:line="440" w:lineRule="exact"/>
        <w:rPr>
          <w:rFonts w:ascii="Times New Roman" w:hAnsi="Times New Roman"/>
          <w:szCs w:val="21"/>
        </w:rPr>
      </w:pPr>
      <w:r>
        <w:rPr>
          <w:rFonts w:ascii="Times New Roman" w:hAnsi="Times New Roman"/>
          <w:u w:val="single"/>
        </w:rPr>
        <w:t xml:space="preserve">                  </w:t>
      </w:r>
      <w:r>
        <w:rPr>
          <w:rFonts w:ascii="Times New Roman" w:hAnsi="Times New Roman"/>
          <w:szCs w:val="21"/>
        </w:rPr>
        <w:t>（招标人名称）：</w:t>
      </w:r>
    </w:p>
    <w:p>
      <w:pPr>
        <w:spacing w:line="440" w:lineRule="exact"/>
        <w:ind w:firstLine="420" w:firstLineChars="200"/>
        <w:rPr>
          <w:rFonts w:ascii="Times New Roman" w:hAnsi="Times New Roman"/>
          <w:szCs w:val="21"/>
        </w:rPr>
      </w:pPr>
      <w:r>
        <w:rPr>
          <w:rFonts w:ascii="Times New Roman" w:hAnsi="Times New Roman"/>
          <w:szCs w:val="21"/>
        </w:rPr>
        <w:t>1．我方已仔细研究了</w:t>
      </w:r>
      <w:r>
        <w:rPr>
          <w:rFonts w:ascii="Times New Roman" w:hAnsi="Times New Roman"/>
          <w:u w:val="single"/>
        </w:rPr>
        <w:t xml:space="preserve">                  </w:t>
      </w:r>
      <w:r>
        <w:rPr>
          <w:rFonts w:ascii="Times New Roman" w:hAnsi="Times New Roman"/>
          <w:color w:val="000000"/>
        </w:rPr>
        <w:t>（项目名称）设备采购招标项目</w:t>
      </w:r>
      <w:r>
        <w:rPr>
          <w:rFonts w:ascii="Times New Roman" w:hAnsi="Times New Roman"/>
          <w:szCs w:val="21"/>
        </w:rPr>
        <w:t>招标文件的全部内容，愿意以人民币（大写）</w:t>
      </w:r>
      <w:r>
        <w:rPr>
          <w:rFonts w:ascii="Times New Roman" w:hAnsi="Times New Roman"/>
          <w:u w:val="single"/>
        </w:rPr>
        <w:t xml:space="preserve">               </w:t>
      </w:r>
      <w:r>
        <w:rPr>
          <w:rFonts w:ascii="Times New Roman" w:hAnsi="Times New Roman"/>
          <w:szCs w:val="21"/>
        </w:rPr>
        <w:t>（¥</w:t>
      </w:r>
      <w:r>
        <w:rPr>
          <w:rFonts w:ascii="Times New Roman" w:hAnsi="Times New Roman"/>
          <w:u w:val="single"/>
        </w:rPr>
        <w:t xml:space="preserve">               </w:t>
      </w:r>
      <w:r>
        <w:rPr>
          <w:rFonts w:ascii="Times New Roman" w:hAnsi="Times New Roman"/>
          <w:szCs w:val="21"/>
        </w:rPr>
        <w:t>）的投标总报价（其中，增值税税率为</w:t>
      </w:r>
      <w:r>
        <w:rPr>
          <w:rFonts w:ascii="Times New Roman" w:hAnsi="Times New Roman" w:eastAsia="黑体"/>
          <w:color w:val="000000"/>
          <w:sz w:val="28"/>
          <w:u w:val="single"/>
        </w:rPr>
        <w:t xml:space="preserve">         </w:t>
      </w:r>
      <w:r>
        <w:rPr>
          <w:rFonts w:ascii="Times New Roman" w:hAnsi="Times New Roman"/>
          <w:szCs w:val="21"/>
        </w:rPr>
        <w:t>）提供</w:t>
      </w:r>
      <w:r>
        <w:rPr>
          <w:rFonts w:ascii="Times New Roman" w:hAnsi="Times New Roman"/>
          <w:u w:val="single"/>
        </w:rPr>
        <w:t xml:space="preserve">                 </w:t>
      </w:r>
      <w:r>
        <w:rPr>
          <w:rFonts w:ascii="Times New Roman" w:hAnsi="Times New Roman"/>
          <w:szCs w:val="21"/>
        </w:rPr>
        <w:t>（设备名称及技术服务和质保期服务），并按合同约定履行义务。</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00" w:lineRule="exact"/>
        <w:ind w:firstLine="405"/>
        <w:rPr>
          <w:rFonts w:ascii="Times New Roman" w:hAnsi="Times New Roman"/>
        </w:rPr>
      </w:pPr>
      <w:r>
        <w:rPr>
          <w:rFonts w:ascii="Times New Roman" w:hAnsi="Times New Roman"/>
        </w:rPr>
        <w:t>（1）投标函；</w:t>
      </w:r>
    </w:p>
    <w:p>
      <w:pPr>
        <w:spacing w:line="400" w:lineRule="exact"/>
        <w:ind w:firstLine="405"/>
        <w:rPr>
          <w:rFonts w:ascii="Times New Roman" w:hAnsi="Times New Roman"/>
        </w:rPr>
      </w:pPr>
      <w:r>
        <w:rPr>
          <w:rFonts w:ascii="Times New Roman" w:hAnsi="Times New Roman"/>
        </w:rPr>
        <w:t>（2）法定代表人（单位负责人）身份证明或授权委托书；</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）投标保证金（如有）；</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）商务和技术偏差表；</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）分项报价表；</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）资格审查资料；</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）投标设备技术性能指标的详细描述；</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）技术支持资料；</w:t>
      </w:r>
    </w:p>
    <w:p>
      <w:pPr>
        <w:spacing w:line="400" w:lineRule="exact"/>
        <w:ind w:firstLine="405"/>
        <w:rPr>
          <w:rFonts w:ascii="Times New Roman" w:hAnsi="Times New Roman"/>
        </w:rPr>
      </w:pPr>
      <w:r>
        <w:rPr>
          <w:rFonts w:ascii="Times New Roman" w:hAnsi="Times New Roman"/>
        </w:rPr>
        <w:t>（</w:t>
      </w:r>
      <w:r>
        <w:rPr>
          <w:rFonts w:hint="eastAsia" w:ascii="Times New Roman" w:hAnsi="Times New Roman"/>
        </w:rPr>
        <w:t>9</w:t>
      </w:r>
      <w:r>
        <w:rPr>
          <w:rFonts w:ascii="Times New Roman" w:hAnsi="Times New Roman"/>
        </w:rPr>
        <w:t>）技术服务和质保期服务计划；</w:t>
      </w:r>
    </w:p>
    <w:p>
      <w:pPr>
        <w:spacing w:line="400" w:lineRule="exact"/>
        <w:ind w:firstLine="405"/>
        <w:rPr>
          <w:rFonts w:ascii="Times New Roman" w:hAnsi="Times New Roman"/>
          <w:color w:val="000000"/>
          <w:sz w:val="22"/>
        </w:rPr>
      </w:pPr>
      <w:r>
        <w:rPr>
          <w:rFonts w:ascii="Times New Roman" w:hAnsi="Times New Roman"/>
        </w:rPr>
        <w:t>（</w:t>
      </w:r>
      <w:r>
        <w:rPr>
          <w:rFonts w:hint="eastAsia" w:ascii="Times New Roman" w:hAnsi="Times New Roman"/>
          <w:lang w:val="en-US" w:eastAsia="zh-CN"/>
        </w:rPr>
        <w:t>10</w:t>
      </w:r>
      <w:r>
        <w:rPr>
          <w:rFonts w:ascii="Times New Roman" w:hAnsi="Times New Roman"/>
        </w:rPr>
        <w:t>）</w:t>
      </w:r>
      <w:r>
        <w:rPr>
          <w:rFonts w:hint="eastAsia" w:ascii="Times New Roman" w:hAnsi="Times New Roman"/>
        </w:rPr>
        <w:t>廉洁投标承诺书</w:t>
      </w:r>
      <w:r>
        <w:rPr>
          <w:rFonts w:hint="eastAsia" w:ascii="Times New Roman" w:hAnsi="Times New Roman"/>
          <w:lang w:val="en-US" w:eastAsia="zh-CN"/>
        </w:rPr>
        <w:t xml:space="preserve">    </w:t>
      </w:r>
      <w:r>
        <w:rPr>
          <w:rFonts w:ascii="Times New Roman" w:hAnsi="Times New Roman"/>
          <w:color w:val="000000"/>
        </w:rPr>
        <w:t>……</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3．我方承诺除</w:t>
      </w:r>
      <w:r>
        <w:rPr>
          <w:rFonts w:ascii="Times New Roman" w:hAnsi="Times New Roman"/>
          <w:color w:val="000000"/>
          <w:sz w:val="22"/>
        </w:rPr>
        <w:t>商务和技术</w:t>
      </w:r>
      <w:r>
        <w:rPr>
          <w:rFonts w:ascii="Times New Roman" w:hAnsi="Times New Roman"/>
          <w:szCs w:val="21"/>
        </w:rPr>
        <w:t>偏差表列出的偏差外，我方响应招标文件的全部要求。</w:t>
      </w:r>
    </w:p>
    <w:p>
      <w:pPr>
        <w:spacing w:line="440" w:lineRule="exact"/>
        <w:ind w:firstLine="420" w:firstLineChars="200"/>
        <w:rPr>
          <w:rFonts w:ascii="Times New Roman" w:hAnsi="Times New Roman"/>
          <w:szCs w:val="21"/>
        </w:rPr>
      </w:pPr>
      <w:r>
        <w:rPr>
          <w:rFonts w:ascii="Times New Roman" w:hAnsi="Times New Roman"/>
          <w:szCs w:val="21"/>
        </w:rPr>
        <w:t>4．我方承诺在招标文件规定的投标有效期内不撤销投标文件。</w:t>
      </w:r>
    </w:p>
    <w:p>
      <w:pPr>
        <w:spacing w:line="440" w:lineRule="exact"/>
        <w:ind w:firstLine="420" w:firstLineChars="200"/>
        <w:rPr>
          <w:rFonts w:ascii="Times New Roman" w:hAnsi="Times New Roman"/>
          <w:szCs w:val="21"/>
        </w:rPr>
      </w:pPr>
      <w:r>
        <w:rPr>
          <w:rFonts w:ascii="Times New Roman" w:hAnsi="Times New Roman"/>
          <w:szCs w:val="21"/>
        </w:rPr>
        <w:t>5．如我方中标，我方承诺：</w:t>
      </w:r>
    </w:p>
    <w:p>
      <w:pPr>
        <w:spacing w:line="400" w:lineRule="exact"/>
        <w:ind w:firstLine="405"/>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）在收到中标通知书后，在中标通知书规定的期限内与你方签订合同；</w:t>
      </w:r>
    </w:p>
    <w:p>
      <w:pPr>
        <w:spacing w:line="400" w:lineRule="exact"/>
        <w:ind w:firstLine="405"/>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）在签订合同时不向你方提出附加条件；</w:t>
      </w:r>
    </w:p>
    <w:p>
      <w:pPr>
        <w:spacing w:line="400" w:lineRule="exact"/>
        <w:ind w:firstLine="405"/>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）按照招标文件要求提交履约保证金；</w:t>
      </w:r>
      <w:bookmarkStart w:id="22" w:name="_Toc1187"/>
      <w:bookmarkStart w:id="23" w:name="_Toc352691658"/>
      <w:bookmarkStart w:id="24" w:name="_Toc369531694"/>
    </w:p>
    <w:p>
      <w:pPr>
        <w:spacing w:line="400" w:lineRule="exact"/>
        <w:ind w:firstLine="405"/>
        <w:rPr>
          <w:rFonts w:ascii="Times New Roman" w:hAnsi="Times New Roman"/>
        </w:rPr>
      </w:pPr>
      <w:r>
        <w:rPr>
          <w:rFonts w:hint="eastAsia" w:ascii="Times New Roman" w:hAnsi="Times New Roman"/>
        </w:rPr>
        <w:t>（</w:t>
      </w:r>
      <w:r>
        <w:rPr>
          <w:rFonts w:ascii="Times New Roman" w:hAnsi="Times New Roman"/>
        </w:rPr>
        <w:t>4</w:t>
      </w:r>
      <w:bookmarkEnd w:id="22"/>
      <w:bookmarkEnd w:id="23"/>
      <w:bookmarkEnd w:id="24"/>
      <w:r>
        <w:rPr>
          <w:rFonts w:hint="eastAsia" w:ascii="Times New Roman" w:hAnsi="Times New Roman"/>
        </w:rPr>
        <w:t>）在合同约定的期限内完成合同规定的全部义务。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rPr>
        <w:t>我方在此声明，所递交的投标文件及有关资料内容完整、真实和准确。</w:t>
      </w:r>
    </w:p>
    <w:p>
      <w:pPr>
        <w:spacing w:line="440" w:lineRule="exact"/>
        <w:ind w:firstLine="420" w:firstLineChars="200"/>
        <w:rPr>
          <w:rFonts w:ascii="Times New Roman" w:hAnsi="Times New Roman"/>
          <w:szCs w:val="21"/>
        </w:rPr>
      </w:pPr>
      <w:r>
        <w:rPr>
          <w:rFonts w:ascii="Times New Roman" w:hAnsi="Times New Roman"/>
          <w:szCs w:val="21"/>
        </w:rPr>
        <w:t>7．</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2520" w:firstLineChars="1200"/>
        <w:jc w:val="left"/>
        <w:rPr>
          <w:rFonts w:ascii="Times New Roman" w:hAnsi="Times New Roman"/>
          <w:szCs w:val="21"/>
        </w:rPr>
      </w:pPr>
      <w:bookmarkStart w:id="25" w:name="_Toc16824"/>
      <w:bookmarkEnd w:id="25"/>
      <w:bookmarkStart w:id="26" w:name="_Toc369531696"/>
      <w:bookmarkEnd w:id="26"/>
      <w:bookmarkStart w:id="27" w:name="_Toc352691660"/>
      <w:bookmarkEnd w:id="27"/>
      <w:bookmarkStart w:id="28" w:name="_Toc352691659"/>
      <w:bookmarkEnd w:id="28"/>
      <w:bookmarkStart w:id="29" w:name="_Toc16568"/>
      <w:bookmarkEnd w:id="29"/>
      <w:bookmarkStart w:id="30" w:name="_Toc369531695"/>
      <w:bookmarkEnd w:id="30"/>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法定代表人（单位负责人）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2520" w:firstLineChars="12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52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before="312" w:beforeLines="100" w:after="312" w:afterLines="100" w:line="360" w:lineRule="auto"/>
        <w:ind w:right="561"/>
        <w:jc w:val="center"/>
        <w:rPr>
          <w:rFonts w:cs="宋体" w:asciiTheme="minorEastAsia" w:hAnsiTheme="minorEastAsia" w:eastAsiaTheme="minorEastAsia"/>
          <w:sz w:val="28"/>
          <w:szCs w:val="28"/>
        </w:rPr>
      </w:pPr>
      <w:bookmarkStart w:id="31" w:name="_Toc152042576"/>
      <w:bookmarkStart w:id="32" w:name="_Toc144974856"/>
      <w:bookmarkStart w:id="33" w:name="_Toc300835209"/>
      <w:bookmarkStart w:id="34" w:name="_Toc247527827"/>
      <w:bookmarkStart w:id="35" w:name="_Toc361508752"/>
      <w:bookmarkStart w:id="36" w:name="_Toc352691661"/>
      <w:bookmarkStart w:id="37" w:name="_Toc384308375"/>
      <w:bookmarkStart w:id="38" w:name="_Toc369531697"/>
      <w:bookmarkStart w:id="39" w:name="_Toc247514246"/>
      <w:bookmarkStart w:id="40" w:name="_Toc17960"/>
      <w:bookmarkStart w:id="41" w:name="_Toc152045787"/>
      <w:bookmarkStart w:id="42" w:name="_Toc501460787"/>
      <w:r>
        <w:rPr>
          <w:rFonts w:cs="宋体" w:asciiTheme="minorEastAsia" w:hAnsiTheme="minorEastAsia" w:eastAsiaTheme="minorEastAsia"/>
          <w:sz w:val="28"/>
          <w:szCs w:val="28"/>
        </w:rPr>
        <w:t>二</w:t>
      </w:r>
      <w:bookmarkEnd w:id="31"/>
      <w:bookmarkEnd w:id="32"/>
      <w:bookmarkEnd w:id="33"/>
      <w:bookmarkEnd w:id="34"/>
      <w:bookmarkEnd w:id="35"/>
      <w:bookmarkEnd w:id="36"/>
      <w:bookmarkEnd w:id="37"/>
      <w:bookmarkEnd w:id="38"/>
      <w:bookmarkEnd w:id="39"/>
      <w:bookmarkEnd w:id="40"/>
      <w:bookmarkEnd w:id="41"/>
      <w:r>
        <w:rPr>
          <w:rFonts w:cs="宋体" w:asciiTheme="minorEastAsia" w:hAnsiTheme="minorEastAsia" w:eastAsiaTheme="minorEastAsia"/>
          <w:sz w:val="28"/>
          <w:szCs w:val="28"/>
        </w:rPr>
        <w:t>、法定代表人（单位负责人）身份证明</w:t>
      </w:r>
      <w:bookmarkEnd w:id="42"/>
    </w:p>
    <w:p>
      <w:pPr>
        <w:spacing w:line="440" w:lineRule="exact"/>
        <w:rPr>
          <w:rFonts w:ascii="Times New Roman" w:hAnsi="Times New Roman"/>
          <w:color w:val="000000"/>
          <w:sz w:val="20"/>
        </w:rPr>
      </w:pP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投标人名称：</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姓名：</w:t>
      </w:r>
      <w:r>
        <w:rPr>
          <w:rFonts w:ascii="Times New Roman" w:hAnsi="Times New Roman"/>
          <w:u w:val="single"/>
        </w:rPr>
        <w:t xml:space="preserve">                </w:t>
      </w:r>
      <w:r>
        <w:rPr>
          <w:rFonts w:ascii="Times New Roman" w:hAnsi="Times New Roman"/>
          <w:color w:val="000000"/>
        </w:rPr>
        <w:t>性别：</w:t>
      </w:r>
      <w:bookmarkStart w:id="43" w:name="_Toc27897"/>
      <w:bookmarkStart w:id="44" w:name="_Toc352691662"/>
      <w:bookmarkStart w:id="45" w:name="_Toc369531698"/>
      <w:r>
        <w:rPr>
          <w:rFonts w:ascii="Times New Roman" w:hAnsi="Times New Roman"/>
          <w:u w:val="single"/>
        </w:rPr>
        <w:t xml:space="preserve">        </w:t>
      </w:r>
      <w:r>
        <w:rPr>
          <w:rFonts w:ascii="Times New Roman" w:hAnsi="Times New Roman"/>
          <w:color w:val="000000"/>
        </w:rPr>
        <w:t>年</w:t>
      </w:r>
      <w:bookmarkEnd w:id="43"/>
      <w:bookmarkEnd w:id="44"/>
      <w:bookmarkEnd w:id="45"/>
      <w:r>
        <w:rPr>
          <w:rFonts w:ascii="Times New Roman" w:hAnsi="Times New Roman"/>
          <w:color w:val="000000"/>
        </w:rPr>
        <w:t>龄</w:t>
      </w:r>
      <w:bookmarkStart w:id="46" w:name="_Toc247514248"/>
      <w:bookmarkStart w:id="47" w:name="_Toc152045789"/>
      <w:bookmarkStart w:id="48" w:name="_Toc300835211"/>
      <w:bookmarkStart w:id="49" w:name="_Toc369531699"/>
      <w:bookmarkStart w:id="50" w:name="_Toc384308377"/>
      <w:bookmarkStart w:id="51" w:name="_Toc15573"/>
      <w:bookmarkStart w:id="52" w:name="_Toc352691663"/>
      <w:bookmarkStart w:id="53" w:name="_Toc144974858"/>
      <w:bookmarkStart w:id="54" w:name="_Toc361508754"/>
      <w:bookmarkStart w:id="55" w:name="_Toc152042578"/>
      <w:bookmarkStart w:id="56" w:name="_Toc247527829"/>
      <w:r>
        <w:rPr>
          <w:rFonts w:ascii="Times New Roman" w:hAnsi="Times New Roman"/>
          <w:color w:val="000000"/>
        </w:rPr>
        <w:t>：</w:t>
      </w:r>
      <w:bookmarkEnd w:id="46"/>
      <w:bookmarkEnd w:id="47"/>
      <w:bookmarkEnd w:id="48"/>
      <w:bookmarkEnd w:id="49"/>
      <w:bookmarkEnd w:id="50"/>
      <w:bookmarkEnd w:id="51"/>
      <w:bookmarkEnd w:id="52"/>
      <w:bookmarkEnd w:id="53"/>
      <w:bookmarkEnd w:id="54"/>
      <w:bookmarkEnd w:id="55"/>
      <w:bookmarkEnd w:id="56"/>
      <w:r>
        <w:rPr>
          <w:rFonts w:ascii="Times New Roman" w:hAnsi="Times New Roman"/>
          <w:u w:val="single"/>
        </w:rPr>
        <w:t xml:space="preserve">        </w:t>
      </w:r>
      <w:r>
        <w:rPr>
          <w:rFonts w:ascii="Times New Roman" w:hAnsi="Times New Roman"/>
          <w:color w:val="000000"/>
        </w:rPr>
        <w:t>职务：</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系</w:t>
      </w:r>
      <w:r>
        <w:rPr>
          <w:rFonts w:ascii="Times New Roman" w:hAnsi="Times New Roman"/>
          <w:u w:val="single"/>
        </w:rPr>
        <w:t xml:space="preserve">                        </w:t>
      </w:r>
      <w:r>
        <w:rPr>
          <w:rFonts w:ascii="Times New Roman" w:hAnsi="Times New Roman"/>
          <w:color w:val="000000"/>
        </w:rPr>
        <w:t>（投标人名称）的法定代表人（单位负责人）。</w:t>
      </w:r>
    </w:p>
    <w:p>
      <w:pPr>
        <w:spacing w:line="440" w:lineRule="exact"/>
        <w:ind w:firstLine="420" w:firstLineChars="200"/>
        <w:rPr>
          <w:rFonts w:ascii="Times New Roman" w:hAnsi="Times New Roman"/>
          <w:color w:val="000000"/>
        </w:rPr>
      </w:pPr>
      <w:r>
        <w:rPr>
          <w:rFonts w:ascii="Times New Roman" w:hAnsi="Times New Roman"/>
          <w:color w:val="000000"/>
        </w:rPr>
        <w:t>特此证明。</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附：法定代表人（单位负责人）身份证复印件。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单位章）</w:t>
      </w:r>
    </w:p>
    <w:p>
      <w:pPr>
        <w:spacing w:line="440" w:lineRule="exact"/>
        <w:rPr>
          <w:rFonts w:ascii="Times New Roman" w:hAnsi="Times New Roman"/>
          <w:color w:val="000000"/>
        </w:rPr>
      </w:pPr>
    </w:p>
    <w:p>
      <w:pPr>
        <w:spacing w:line="440" w:lineRule="exact"/>
        <w:ind w:firstLine="4620" w:firstLineChars="2200"/>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40" w:lineRule="exact"/>
        <w:rPr>
          <w:rFonts w:ascii="Times New Roman" w:hAnsi="Times New Roman" w:eastAsia="黑体"/>
          <w:color w:val="000000"/>
          <w:sz w:val="20"/>
        </w:rPr>
      </w:pPr>
    </w:p>
    <w:p>
      <w:pPr>
        <w:spacing w:line="440" w:lineRule="exact"/>
        <w:jc w:val="center"/>
        <w:rPr>
          <w:rFonts w:ascii="Times New Roman" w:hAnsi="Times New Roman" w:eastAsia="黑体"/>
          <w:color w:val="000000"/>
          <w:sz w:val="20"/>
        </w:rPr>
      </w:pPr>
      <w:r>
        <w:rPr>
          <w:rFonts w:ascii="Times New Roman" w:hAnsi="Times New Roman" w:eastAsia="黑体"/>
          <w:color w:val="000000"/>
          <w:sz w:val="20"/>
        </w:rPr>
        <w:br w:type="page"/>
      </w:r>
    </w:p>
    <w:p>
      <w:pPr>
        <w:spacing w:before="312" w:beforeLines="100" w:after="312" w:afterLines="100" w:line="360" w:lineRule="auto"/>
        <w:ind w:right="561"/>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二、法定代表人授权书</w:t>
      </w:r>
    </w:p>
    <w:p>
      <w:pPr>
        <w:spacing w:line="276" w:lineRule="auto"/>
        <w:ind w:right="560"/>
        <w:jc w:val="left"/>
        <w:rPr>
          <w:rFonts w:cs="宋体" w:asciiTheme="minorEastAsia" w:hAnsiTheme="minorEastAsia" w:eastAsiaTheme="minorEastAsia"/>
          <w:szCs w:val="21"/>
        </w:rPr>
      </w:pPr>
      <w:r>
        <w:rPr>
          <w:rFonts w:hint="eastAsia" w:cs="宋体" w:asciiTheme="minorEastAsia" w:hAnsiTheme="minorEastAsia" w:eastAsiaTheme="minorEastAsia"/>
          <w:szCs w:val="21"/>
        </w:rPr>
        <w:t>致：</w:t>
      </w:r>
      <w:r>
        <w:rPr>
          <w:rFonts w:cs="宋体" w:asciiTheme="minorEastAsia" w:hAnsiTheme="minorEastAsia" w:eastAsiaTheme="minorEastAsia"/>
          <w:szCs w:val="21"/>
        </w:rPr>
        <w:t>厦门</w:t>
      </w:r>
      <w:r>
        <w:rPr>
          <w:rFonts w:hint="eastAsia" w:cs="宋体" w:asciiTheme="minorEastAsia" w:hAnsiTheme="minorEastAsia" w:eastAsiaTheme="minorEastAsia"/>
          <w:szCs w:val="21"/>
          <w:lang w:eastAsia="zh-Hans"/>
        </w:rPr>
        <w:t>启润零碳</w:t>
      </w:r>
      <w:r>
        <w:rPr>
          <w:rFonts w:hint="eastAsia" w:cs="宋体" w:asciiTheme="minorEastAsia" w:hAnsiTheme="minorEastAsia" w:eastAsiaTheme="minorEastAsia"/>
          <w:szCs w:val="21"/>
        </w:rPr>
        <w:t>数字科技</w:t>
      </w:r>
      <w:r>
        <w:rPr>
          <w:rFonts w:cs="宋体" w:asciiTheme="minorEastAsia" w:hAnsiTheme="minorEastAsia" w:eastAsiaTheme="minorEastAsia"/>
          <w:szCs w:val="21"/>
        </w:rPr>
        <w:t>有限公司</w:t>
      </w:r>
    </w:p>
    <w:p>
      <w:pPr>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u w:val="single"/>
        </w:rPr>
        <w:t xml:space="preserve">         （投标人全称）     </w:t>
      </w:r>
      <w:r>
        <w:rPr>
          <w:rFonts w:hint="eastAsia" w:cs="宋体" w:asciiTheme="minorEastAsia" w:hAnsiTheme="minorEastAsia" w:eastAsiaTheme="minorEastAsia"/>
          <w:szCs w:val="21"/>
        </w:rPr>
        <w:t>法定代表人</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授权</w:t>
      </w:r>
      <w:r>
        <w:rPr>
          <w:rFonts w:cs="宋体" w:asciiTheme="minorEastAsia" w:hAnsiTheme="minorEastAsia" w:eastAsiaTheme="minorEastAsia"/>
          <w:szCs w:val="21"/>
          <w:u w:val="single"/>
        </w:rPr>
        <w:t xml:space="preserve">   （投标人代表姓名）  </w:t>
      </w:r>
      <w:r>
        <w:rPr>
          <w:rFonts w:hint="eastAsia" w:cs="宋体" w:asciiTheme="minorEastAsia" w:hAnsiTheme="minorEastAsia" w:eastAsiaTheme="minorEastAsia"/>
          <w:szCs w:val="21"/>
        </w:rPr>
        <w:t>为投标人代表，代表本公司参加贵司组织的</w:t>
      </w:r>
      <w:r>
        <w:rPr>
          <w:rFonts w:hint="eastAsia" w:cs="宋体" w:asciiTheme="minorEastAsia" w:hAnsiTheme="minorEastAsia" w:eastAsiaTheme="minorEastAsia"/>
          <w:bCs/>
          <w:szCs w:val="21"/>
          <w:u w:val="single"/>
        </w:rPr>
        <w:t>编号为QRLT-IT-20230720的招标项目</w:t>
      </w:r>
      <w:r>
        <w:rPr>
          <w:rFonts w:hint="eastAsia" w:cs="宋体" w:asciiTheme="minorEastAsia" w:hAnsiTheme="minorEastAsia" w:eastAsiaTheme="minorEastAsia"/>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本授权书自出具之日起生效。</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投标人代表：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身份证号：</w:t>
      </w:r>
    </w:p>
    <w:p>
      <w:pPr>
        <w:spacing w:line="360" w:lineRule="auto"/>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部门：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职务：</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电话：</w:t>
      </w:r>
    </w:p>
    <w:p>
      <w:pPr>
        <w:spacing w:line="360" w:lineRule="auto"/>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电子邮箱：</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附：被授权人身份证</w:t>
      </w:r>
    </w:p>
    <w:p>
      <w:pPr>
        <w:spacing w:line="360" w:lineRule="auto"/>
        <w:ind w:firstLine="480"/>
        <w:rPr>
          <w:rFonts w:cs="宋体" w:asciiTheme="minorEastAsia" w:hAnsiTheme="minorEastAsia" w:eastAsiaTheme="minorEastAsia"/>
          <w:sz w:val="24"/>
        </w:rPr>
      </w:pPr>
      <w:r>
        <mc:AlternateContent>
          <mc:Choice Requires="wps">
            <w:drawing>
              <wp:anchor distT="0" distB="0" distL="114300" distR="114300" simplePos="0" relativeHeight="251659264" behindDoc="0" locked="0" layoutInCell="1" allowOverlap="1">
                <wp:simplePos x="0" y="0"/>
                <wp:positionH relativeFrom="column">
                  <wp:posOffset>-274955</wp:posOffset>
                </wp:positionH>
                <wp:positionV relativeFrom="paragraph">
                  <wp:posOffset>88265</wp:posOffset>
                </wp:positionV>
                <wp:extent cx="5791200" cy="225742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5pt;margin-top:6.95pt;height:177.75pt;width:456pt;z-index:251659264;mso-width-relative:page;mso-height-relative:page;" filled="f" stroked="t" coordsize="21600,21600" o:gfxdata="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2MOI2QAAAAoBAAAPAAAAAAAAAAEAIAAA&#10;ACIAAABkcnMvZG93bnJldi54bWxQSwECFAAUAAAACACHTuJASAWBWkQCAAB6BAAADgAAAAAAAAAB&#10;ACAAAAAoAQAAZHJzL2Uyb0RvYy54bWxQSwUGAAAAAAYABgBZAQAA3gUAAAAA&#10;">
                <v:fill on="f" focussize="0,0"/>
                <v:stroke weight="1pt" color="#000000" miterlimit="8" joinstyle="miter" dashstyle="1 1" endcap="round"/>
                <v:imagedata o:title=""/>
                <o:lock v:ext="edit" aspectratio="f"/>
              </v:rect>
            </w:pict>
          </mc:Fallback>
        </mc:AlternateContent>
      </w:r>
    </w:p>
    <w:p>
      <w:pPr>
        <w:spacing w:line="360" w:lineRule="auto"/>
        <w:ind w:firstLine="480"/>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1024" w:firstLineChars="427"/>
        <w:rPr>
          <w:rFonts w:cs="宋体" w:asciiTheme="minorEastAsia" w:hAnsiTheme="minorEastAsia" w:eastAsiaTheme="minorEastAsia"/>
          <w:sz w:val="24"/>
        </w:rPr>
      </w:pPr>
      <w:r>
        <w:rPr>
          <w:rFonts w:hint="eastAsia" w:cs="宋体" w:asciiTheme="minorEastAsia" w:hAnsiTheme="minorEastAsia" w:eastAsiaTheme="minorEastAsia"/>
          <w:sz w:val="24"/>
        </w:rPr>
        <w:t>粘贴被授权人身份证复印件（正反面）并加盖骑缝公章</w:t>
      </w:r>
    </w:p>
    <w:p>
      <w:pPr>
        <w:spacing w:line="360" w:lineRule="auto"/>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420"/>
        <w:rPr>
          <w:rFonts w:cs="宋体" w:asciiTheme="minorEastAsia" w:hAnsiTheme="minorEastAsia" w:eastAsiaTheme="minorEastAsia"/>
          <w:szCs w:val="20"/>
        </w:rPr>
      </w:pP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授权方：</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投标人（全称并加盖公章）：</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法定代表人签章：</w:t>
      </w:r>
      <w:r>
        <w:rPr>
          <w:rFonts w:cs="宋体" w:asciiTheme="minorEastAsia" w:hAnsiTheme="minorEastAsia" w:eastAsiaTheme="minorEastAsia"/>
          <w:szCs w:val="20"/>
        </w:rPr>
        <w:t xml:space="preserve">   </w:t>
      </w:r>
      <w:r>
        <w:rPr>
          <w:rFonts w:hint="eastAsia" w:cs="宋体" w:asciiTheme="minorEastAsia" w:hAnsiTheme="minorEastAsia" w:eastAsiaTheme="minorEastAsia"/>
          <w:szCs w:val="20"/>
        </w:rPr>
        <w:t>日期：</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接受授权方：</w:t>
      </w:r>
    </w:p>
    <w:p>
      <w:pPr>
        <w:spacing w:line="360" w:lineRule="auto"/>
        <w:ind w:firstLine="420"/>
        <w:rPr>
          <w:rFonts w:ascii="Times New Roman" w:hAnsi="Times New Roman"/>
          <w:color w:val="000000"/>
        </w:rPr>
      </w:pPr>
      <w:r>
        <w:rPr>
          <w:rFonts w:hint="eastAsia" w:cs="宋体" w:asciiTheme="minorEastAsia" w:hAnsiTheme="minorEastAsia" w:eastAsiaTheme="minorEastAsia"/>
          <w:szCs w:val="20"/>
        </w:rPr>
        <w:t>投标人代表签章：</w:t>
      </w:r>
      <w:r>
        <w:rPr>
          <w:rFonts w:cs="宋体" w:asciiTheme="minorEastAsia" w:hAnsiTheme="minorEastAsia" w:eastAsiaTheme="minorEastAsia"/>
          <w:szCs w:val="20"/>
        </w:rPr>
        <w:t xml:space="preserve">   </w:t>
      </w:r>
      <w:r>
        <w:rPr>
          <w:rFonts w:hint="eastAsia" w:cs="宋体" w:asciiTheme="minorEastAsia" w:hAnsiTheme="minorEastAsia" w:eastAsiaTheme="minorEastAsia"/>
          <w:szCs w:val="20"/>
        </w:rPr>
        <w:t>日期：</w:t>
      </w:r>
      <w:r>
        <w:rPr>
          <w:rFonts w:ascii="Times New Roman" w:hAnsi="Times New Roman"/>
          <w:color w:val="000000"/>
        </w:rPr>
        <w:br w:type="page"/>
      </w:r>
    </w:p>
    <w:p>
      <w:pPr>
        <w:spacing w:before="312" w:beforeLines="100" w:after="312" w:afterLines="100" w:line="360" w:lineRule="auto"/>
        <w:ind w:right="561"/>
        <w:jc w:val="center"/>
        <w:rPr>
          <w:rFonts w:cs="宋体" w:asciiTheme="minorEastAsia" w:hAnsiTheme="minorEastAsia" w:eastAsiaTheme="minorEastAsia"/>
          <w:sz w:val="28"/>
          <w:szCs w:val="28"/>
        </w:rPr>
      </w:pPr>
      <w:bookmarkStart w:id="57" w:name="_Toc501460790"/>
      <w:r>
        <w:rPr>
          <w:rFonts w:hint="eastAsia" w:cs="宋体" w:asciiTheme="minorEastAsia" w:hAnsiTheme="minorEastAsia" w:eastAsiaTheme="minorEastAsia"/>
          <w:sz w:val="28"/>
          <w:szCs w:val="28"/>
        </w:rPr>
        <w:t>三</w:t>
      </w:r>
      <w:r>
        <w:rPr>
          <w:rFonts w:cs="宋体" w:asciiTheme="minorEastAsia" w:hAnsiTheme="minorEastAsia" w:eastAsiaTheme="minorEastAsia"/>
          <w:sz w:val="28"/>
          <w:szCs w:val="28"/>
        </w:rPr>
        <w:t>、</w:t>
      </w:r>
      <w:bookmarkStart w:id="58" w:name="_Toc247514284"/>
      <w:bookmarkStart w:id="59" w:name="_Toc352691666"/>
      <w:bookmarkStart w:id="60" w:name="_Toc384308381"/>
      <w:bookmarkStart w:id="61" w:name="_Toc247527832"/>
      <w:bookmarkStart w:id="62" w:name="_Toc361508757"/>
      <w:bookmarkStart w:id="63" w:name="_Toc300835214"/>
      <w:bookmarkStart w:id="64" w:name="_Toc13469"/>
      <w:bookmarkStart w:id="65" w:name="_Toc152042581"/>
      <w:bookmarkStart w:id="66" w:name="_Toc369531702"/>
      <w:bookmarkStart w:id="67" w:name="_Toc152045792"/>
      <w:bookmarkStart w:id="68" w:name="_Toc144974861"/>
      <w:r>
        <w:rPr>
          <w:rFonts w:cs="宋体" w:asciiTheme="minorEastAsia" w:hAnsiTheme="minorEastAsia" w:eastAsiaTheme="minorEastAsia"/>
          <w:sz w:val="28"/>
          <w:szCs w:val="28"/>
        </w:rPr>
        <w:t>投标保证金</w:t>
      </w:r>
      <w:bookmarkEnd w:id="57"/>
    </w:p>
    <w:p>
      <w:pPr>
        <w:spacing w:line="440" w:lineRule="exact"/>
        <w:ind w:firstLine="420" w:firstLineChars="200"/>
        <w:rPr>
          <w:rFonts w:ascii="Times New Roman" w:hAnsi="Times New Roman"/>
          <w:szCs w:val="21"/>
        </w:rPr>
      </w:pPr>
      <w:r>
        <w:rPr>
          <w:rFonts w:ascii="Times New Roman" w:hAnsi="Times New Roman"/>
          <w:szCs w:val="21"/>
        </w:rPr>
        <w:t>投标人应在此提供</w:t>
      </w:r>
      <w:r>
        <w:rPr>
          <w:rFonts w:hint="eastAsia" w:ascii="Times New Roman" w:hAnsi="Times New Roman"/>
          <w:szCs w:val="21"/>
        </w:rPr>
        <w:t>保证金凭证及基本账户开户许可证</w:t>
      </w:r>
      <w:r>
        <w:rPr>
          <w:rFonts w:ascii="Times New Roman" w:hAnsi="Times New Roman"/>
          <w:szCs w:val="21"/>
        </w:rPr>
        <w:t>的复印件。</w:t>
      </w:r>
    </w:p>
    <w:bookmarkEnd w:id="58"/>
    <w:bookmarkEnd w:id="59"/>
    <w:bookmarkEnd w:id="60"/>
    <w:bookmarkEnd w:id="61"/>
    <w:bookmarkEnd w:id="62"/>
    <w:bookmarkEnd w:id="63"/>
    <w:bookmarkEnd w:id="64"/>
    <w:bookmarkEnd w:id="65"/>
    <w:bookmarkEnd w:id="66"/>
    <w:bookmarkEnd w:id="67"/>
    <w:bookmarkEnd w:id="68"/>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rPr>
          <w:rFonts w:ascii="Times New Roman" w:hAnsi="Times New Roman"/>
          <w:color w:val="000000"/>
        </w:rPr>
      </w:pPr>
    </w:p>
    <w:p>
      <w:pPr>
        <w:pStyle w:val="14"/>
        <w:rPr>
          <w:lang w:eastAsia="zh-CN"/>
        </w:rPr>
      </w:pPr>
      <w:bookmarkStart w:id="69" w:name="_Toc501460791"/>
    </w:p>
    <w:p>
      <w:pPr>
        <w:rPr>
          <w:rFonts w:ascii="Times New Roman" w:hAnsi="Times New Roman"/>
        </w:rPr>
      </w:pPr>
      <w:r>
        <w:rPr>
          <w:rFonts w:hint="eastAsia" w:ascii="Times New Roman" w:hAnsi="Times New Roman"/>
        </w:rPr>
        <w:br w:type="page"/>
      </w:r>
    </w:p>
    <w:p>
      <w:pPr>
        <w:spacing w:before="312" w:beforeLines="100" w:after="312" w:afterLines="100" w:line="360" w:lineRule="auto"/>
        <w:ind w:right="561"/>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四</w:t>
      </w:r>
      <w:r>
        <w:rPr>
          <w:rFonts w:cs="宋体" w:asciiTheme="minorEastAsia" w:hAnsiTheme="minorEastAsia" w:eastAsiaTheme="minorEastAsia"/>
          <w:sz w:val="28"/>
          <w:szCs w:val="28"/>
        </w:rPr>
        <w:t>、商务和技术偏差表</w:t>
      </w:r>
      <w:bookmarkEnd w:id="69"/>
    </w:p>
    <w:tbl>
      <w:tblPr>
        <w:tblStyle w:val="2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序号</w:t>
            </w:r>
          </w:p>
        </w:tc>
        <w:tc>
          <w:tcPr>
            <w:tcW w:w="2694"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招标文件章节及条款号</w:t>
            </w:r>
          </w:p>
        </w:tc>
        <w:tc>
          <w:tcPr>
            <w:tcW w:w="2979"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投标文件章节及条款号</w:t>
            </w:r>
          </w:p>
        </w:tc>
        <w:tc>
          <w:tcPr>
            <w:tcW w:w="1624"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1</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2</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3</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4</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5</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w:t>
            </w:r>
          </w:p>
        </w:tc>
        <w:tc>
          <w:tcPr>
            <w:tcW w:w="2694" w:type="dxa"/>
            <w:vAlign w:val="bottom"/>
          </w:tcPr>
          <w:p>
            <w:pPr>
              <w:widowControl/>
              <w:snapToGrid w:val="0"/>
              <w:jc w:val="center"/>
              <w:rPr>
                <w:rFonts w:ascii="Times New Roman" w:hAnsi="Times New Roman"/>
                <w:kern w:val="0"/>
                <w:szCs w:val="21"/>
              </w:rPr>
            </w:pPr>
          </w:p>
        </w:tc>
        <w:tc>
          <w:tcPr>
            <w:tcW w:w="2979"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bl>
    <w:p>
      <w:pPr>
        <w:spacing w:line="440" w:lineRule="exact"/>
        <w:ind w:firstLine="420" w:firstLineChars="200"/>
        <w:rPr>
          <w:rFonts w:ascii="Times New Roman" w:hAnsi="Times New Roman"/>
          <w:szCs w:val="21"/>
        </w:rPr>
      </w:pPr>
      <w:r>
        <w:rPr>
          <w:rFonts w:ascii="Times New Roman" w:hAnsi="Times New Roman"/>
          <w:szCs w:val="21"/>
        </w:rPr>
        <w:t>投标人保证：除商务和技术偏差表列出的偏差外，投标人响应招标文件的全部要求。</w:t>
      </w:r>
    </w:p>
    <w:p>
      <w:pPr>
        <w:spacing w:line="440" w:lineRule="exact"/>
        <w:jc w:val="center"/>
        <w:rPr>
          <w:rFonts w:ascii="Times New Roman" w:hAnsi="Times New Roman" w:eastAsia="黑体"/>
          <w:sz w:val="27"/>
          <w:szCs w:val="27"/>
        </w:rPr>
      </w:pPr>
      <w:r>
        <w:rPr>
          <w:rFonts w:ascii="Times New Roman" w:hAnsi="Times New Roman" w:eastAsia="黑体"/>
          <w:sz w:val="20"/>
        </w:rPr>
        <w:br w:type="page"/>
      </w:r>
    </w:p>
    <w:p>
      <w:pPr>
        <w:spacing w:before="312" w:beforeLines="100" w:after="312" w:afterLines="100" w:line="360" w:lineRule="auto"/>
        <w:ind w:right="561"/>
        <w:jc w:val="center"/>
        <w:rPr>
          <w:rFonts w:cs="宋体" w:asciiTheme="minorEastAsia" w:hAnsiTheme="minorEastAsia" w:eastAsiaTheme="minorEastAsia"/>
          <w:sz w:val="28"/>
          <w:szCs w:val="28"/>
        </w:rPr>
      </w:pPr>
      <w:bookmarkStart w:id="70" w:name="_Toc485218079"/>
      <w:bookmarkStart w:id="71" w:name="_Toc501460792"/>
      <w:bookmarkStart w:id="72" w:name="_Toc361508760"/>
      <w:r>
        <w:rPr>
          <w:rFonts w:hint="eastAsia" w:cs="宋体" w:asciiTheme="minorEastAsia" w:hAnsiTheme="minorEastAsia" w:eastAsiaTheme="minorEastAsia"/>
          <w:sz w:val="28"/>
          <w:szCs w:val="28"/>
        </w:rPr>
        <w:t>五</w:t>
      </w:r>
      <w:r>
        <w:rPr>
          <w:rFonts w:cs="宋体" w:asciiTheme="minorEastAsia" w:hAnsiTheme="minorEastAsia" w:eastAsiaTheme="minorEastAsia"/>
          <w:sz w:val="28"/>
          <w:szCs w:val="28"/>
        </w:rPr>
        <w:t>、分项报价表</w:t>
      </w:r>
      <w:bookmarkEnd w:id="70"/>
      <w:bookmarkEnd w:id="71"/>
    </w:p>
    <w:p>
      <w:pPr>
        <w:spacing w:line="440" w:lineRule="exact"/>
        <w:ind w:firstLine="420" w:firstLineChars="200"/>
        <w:rPr>
          <w:rFonts w:ascii="Times New Roman" w:hAnsi="Times New Roman"/>
          <w:szCs w:val="21"/>
        </w:rPr>
      </w:pPr>
      <w:r>
        <w:rPr>
          <w:rFonts w:hint="eastAsia" w:ascii="Times New Roman" w:hAnsi="Times New Roman"/>
          <w:szCs w:val="21"/>
        </w:rPr>
        <w:t>1. 分项报价表说明</w:t>
      </w:r>
    </w:p>
    <w:p>
      <w:pPr>
        <w:spacing w:line="440" w:lineRule="exact"/>
        <w:ind w:firstLine="420" w:firstLineChars="200"/>
        <w:rPr>
          <w:rFonts w:ascii="Times New Roman" w:hAnsi="Times New Roman"/>
          <w:szCs w:val="21"/>
        </w:rPr>
      </w:pPr>
      <w:r>
        <w:rPr>
          <w:rFonts w:hint="eastAsia" w:ascii="Times New Roman" w:hAnsi="Times New Roman"/>
          <w:szCs w:val="21"/>
        </w:rPr>
        <w:t>2. 分项报价表</w:t>
      </w:r>
    </w:p>
    <w:p>
      <w:pPr>
        <w:spacing w:line="440" w:lineRule="exact"/>
        <w:ind w:firstLine="420" w:firstLineChars="200"/>
        <w:jc w:val="right"/>
        <w:rPr>
          <w:rFonts w:ascii="Times New Roman" w:hAnsi="Times New Roman"/>
          <w:szCs w:val="21"/>
        </w:rPr>
      </w:pPr>
      <w:r>
        <w:rPr>
          <w:rFonts w:hint="eastAsia" w:ascii="Times New Roman" w:hAnsi="Times New Roman"/>
          <w:szCs w:val="21"/>
        </w:rPr>
        <w:t>单位：人民币元</w:t>
      </w:r>
    </w:p>
    <w:tbl>
      <w:tblPr>
        <w:tblStyle w:val="25"/>
        <w:tblW w:w="8789" w:type="dxa"/>
        <w:tblInd w:w="108" w:type="dxa"/>
        <w:tblLayout w:type="fixed"/>
        <w:tblCellMar>
          <w:top w:w="0" w:type="dxa"/>
          <w:left w:w="108" w:type="dxa"/>
          <w:bottom w:w="0" w:type="dxa"/>
          <w:right w:w="108" w:type="dxa"/>
        </w:tblCellMar>
      </w:tblPr>
      <w:tblGrid>
        <w:gridCol w:w="709"/>
        <w:gridCol w:w="1559"/>
        <w:gridCol w:w="993"/>
        <w:gridCol w:w="1134"/>
        <w:gridCol w:w="1417"/>
        <w:gridCol w:w="1701"/>
        <w:gridCol w:w="1276"/>
      </w:tblGrid>
      <w:tr>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序号</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分项名称</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数量</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单价（元）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总价（元）</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Cs w:val="21"/>
              </w:rPr>
            </w:pPr>
            <w:r>
              <w:rPr>
                <w:rFonts w:ascii="Times New Roman" w:hAnsi="Times New Roman"/>
                <w:b/>
                <w:kern w:val="0"/>
                <w:szCs w:val="21"/>
              </w:rPr>
              <w:t>备注</w:t>
            </w: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9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9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9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5</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w:t>
            </w:r>
          </w:p>
        </w:tc>
        <w:tc>
          <w:tcPr>
            <w:tcW w:w="99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41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276" w:type="dxa"/>
            <w:tcBorders>
              <w:top w:val="nil"/>
              <w:left w:val="nil"/>
              <w:bottom w:val="single" w:color="auto" w:sz="4" w:space="0"/>
              <w:right w:val="single" w:color="auto" w:sz="4" w:space="0"/>
            </w:tcBorders>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405" w:hRule="atLeast"/>
        </w:trPr>
        <w:tc>
          <w:tcPr>
            <w:tcW w:w="581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b/>
                <w:kern w:val="0"/>
                <w:szCs w:val="21"/>
              </w:rPr>
              <w:t>合计报价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276"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kern w:val="0"/>
                <w:szCs w:val="21"/>
              </w:rPr>
            </w:pPr>
          </w:p>
        </w:tc>
      </w:tr>
    </w:tbl>
    <w:p>
      <w:pPr>
        <w:widowControl/>
        <w:ind w:right="105"/>
        <w:jc w:val="right"/>
        <w:rPr>
          <w:rFonts w:ascii="Times New Roman" w:hAnsi="Times New Roman"/>
          <w:kern w:val="0"/>
        </w:rPr>
      </w:pPr>
    </w:p>
    <w:p>
      <w:pPr>
        <w:spacing w:line="400" w:lineRule="exact"/>
        <w:ind w:firstLine="420" w:firstLineChars="200"/>
        <w:rPr>
          <w:rFonts w:ascii="Times New Roman" w:hAnsi="Times New Roman"/>
        </w:rPr>
      </w:pPr>
    </w:p>
    <w:p>
      <w:pPr>
        <w:widowControl/>
        <w:ind w:right="105"/>
        <w:jc w:val="left"/>
        <w:rPr>
          <w:rFonts w:ascii="Times New Roman" w:hAnsi="Times New Roman"/>
          <w:kern w:val="0"/>
        </w:rPr>
      </w:pPr>
    </w:p>
    <w:p>
      <w:pPr>
        <w:spacing w:before="312" w:beforeLines="100" w:after="312" w:afterLines="100" w:line="360" w:lineRule="auto"/>
        <w:ind w:right="561"/>
        <w:jc w:val="center"/>
        <w:rPr>
          <w:rFonts w:ascii="Times New Roman" w:hAnsi="Times New Roman"/>
          <w:color w:val="000000"/>
        </w:rPr>
      </w:pPr>
      <w:r>
        <w:rPr>
          <w:rFonts w:ascii="Times New Roman" w:hAnsi="Times New Roman"/>
          <w:color w:val="000000"/>
        </w:rPr>
        <w:br w:type="page"/>
      </w:r>
      <w:bookmarkStart w:id="73" w:name="_Toc501460793"/>
      <w:r>
        <w:rPr>
          <w:rFonts w:hint="eastAsia" w:cs="宋体" w:asciiTheme="minorEastAsia" w:hAnsiTheme="minorEastAsia" w:eastAsiaTheme="minorEastAsia"/>
          <w:sz w:val="28"/>
          <w:szCs w:val="28"/>
        </w:rPr>
        <w:t>六</w:t>
      </w:r>
      <w:r>
        <w:rPr>
          <w:rFonts w:cs="宋体" w:asciiTheme="minorEastAsia" w:hAnsiTheme="minorEastAsia" w:eastAsiaTheme="minorEastAsia"/>
          <w:sz w:val="28"/>
          <w:szCs w:val="28"/>
        </w:rPr>
        <w:t>、资格审查资料</w:t>
      </w:r>
      <w:bookmarkEnd w:id="73"/>
    </w:p>
    <w:p>
      <w:pPr>
        <w:rPr>
          <w:b/>
          <w:bCs/>
          <w:sz w:val="24"/>
          <w:szCs w:val="28"/>
        </w:rPr>
      </w:pPr>
      <w:bookmarkStart w:id="74" w:name="_Toc501460794"/>
      <w:r>
        <w:rPr>
          <w:b/>
          <w:bCs/>
          <w:sz w:val="24"/>
          <w:szCs w:val="28"/>
        </w:rPr>
        <w:t>（一）基本情况表</w:t>
      </w:r>
      <w:bookmarkEnd w:id="74"/>
    </w:p>
    <w:tbl>
      <w:tblPr>
        <w:tblStyle w:val="25"/>
        <w:tblW w:w="8931"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r>
              <w:rPr>
                <w:rFonts w:ascii="Times New Roman" w:hAnsi="Times New Roman"/>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r>
              <w:rPr>
                <w:rFonts w:ascii="Times New Roman" w:hAnsi="Times New Roman"/>
                <w:color w:val="000000"/>
              </w:rPr>
              <w:t>注册</w:t>
            </w:r>
            <w:r>
              <w:rPr>
                <w:rFonts w:ascii="Times New Roman" w:hAnsi="Times New Roman"/>
                <w:szCs w:val="21"/>
              </w:rPr>
              <w:t>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p>
        </w:tc>
        <w:tc>
          <w:tcPr>
            <w:tcW w:w="1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r>
              <w:rPr>
                <w:rFonts w:ascii="Times New Roman" w:hAnsi="Times New Roman"/>
                <w:szCs w:val="21"/>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联系人</w:t>
            </w:r>
          </w:p>
        </w:tc>
        <w:tc>
          <w:tcPr>
            <w:tcW w:w="240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2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网址</w:t>
            </w:r>
          </w:p>
        </w:tc>
        <w:tc>
          <w:tcPr>
            <w:tcW w:w="240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传真</w:t>
            </w:r>
          </w:p>
        </w:tc>
        <w:tc>
          <w:tcPr>
            <w:tcW w:w="22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法定代表人</w:t>
            </w:r>
          </w:p>
          <w:p>
            <w:pPr>
              <w:topLinePunct/>
              <w:spacing w:line="440" w:lineRule="exact"/>
              <w:jc w:val="center"/>
              <w:rPr>
                <w:rFonts w:ascii="Times New Roman" w:hAnsi="Times New Roman"/>
                <w:szCs w:val="21"/>
              </w:rPr>
            </w:pPr>
            <w:r>
              <w:rPr>
                <w:rFonts w:ascii="Times New Roman" w:hAnsi="Times New Roman"/>
                <w:color w:val="000000"/>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姓名</w:t>
            </w:r>
          </w:p>
        </w:tc>
        <w:tc>
          <w:tcPr>
            <w:tcW w:w="240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26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r>
              <w:rPr>
                <w:rFonts w:hint="eastAsia" w:ascii="Times New Roman" w:hAnsi="Times New Roman"/>
                <w:szCs w:val="21"/>
              </w:rPr>
              <w:t>合格</w:t>
            </w:r>
            <w:r>
              <w:rPr>
                <w:rFonts w:ascii="Times New Roman" w:hAnsi="Times New Roman"/>
                <w:szCs w:val="21"/>
              </w:rPr>
              <w:t>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color w:val="000000"/>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 xml:space="preserve">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000000"/>
              </w:rPr>
            </w:pPr>
            <w:r>
              <w:rPr>
                <w:rFonts w:ascii="Times New Roman" w:hAnsi="Times New Roman"/>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基本账户银行账号</w:t>
            </w:r>
          </w:p>
        </w:tc>
        <w:tc>
          <w:tcPr>
            <w:tcW w:w="6757" w:type="dxa"/>
            <w:gridSpan w:val="4"/>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bl>
    <w:p>
      <w:pPr>
        <w:spacing w:line="400" w:lineRule="exact"/>
        <w:rPr>
          <w:rFonts w:ascii="Times New Roman" w:hAnsi="Times New Roman"/>
          <w:color w:val="000000"/>
        </w:rPr>
      </w:pPr>
      <w:r>
        <w:rPr>
          <w:rFonts w:ascii="Times New Roman" w:hAnsi="Times New Roman"/>
          <w:color w:val="000000"/>
        </w:rPr>
        <w:t>注：1. 投标人应在本表后附相关证明材料。</w:t>
      </w:r>
    </w:p>
    <w:p>
      <w:pPr>
        <w:spacing w:line="400" w:lineRule="exact"/>
        <w:ind w:firstLine="420" w:firstLineChars="200"/>
        <w:rPr>
          <w:rFonts w:ascii="Times New Roman" w:hAnsi="Times New Roman"/>
          <w:color w:val="000000"/>
        </w:rPr>
      </w:pPr>
      <w:r>
        <w:rPr>
          <w:rFonts w:ascii="Times New Roman" w:hAnsi="Times New Roman"/>
          <w:color w:val="000000"/>
        </w:rPr>
        <w:t>2.投标人</w:t>
      </w:r>
      <w:r>
        <w:rPr>
          <w:rFonts w:hint="eastAsia" w:ascii="Times New Roman" w:hAnsi="Times New Roman"/>
          <w:color w:val="000000"/>
        </w:rPr>
        <w:t>根据对招标文件的理解，认为需要提供的其他相关资质证书复印件也应附在本表之后</w:t>
      </w:r>
      <w:r>
        <w:rPr>
          <w:rFonts w:ascii="Times New Roman" w:hAnsi="Times New Roman"/>
          <w:color w:val="000000"/>
        </w:rPr>
        <w:t>。</w:t>
      </w: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spacing w:line="400" w:lineRule="exact"/>
        <w:ind w:firstLine="420" w:firstLineChars="200"/>
        <w:rPr>
          <w:rFonts w:ascii="Times New Roman" w:hAnsi="Times New Roman"/>
          <w:color w:val="000000"/>
        </w:rPr>
      </w:pPr>
    </w:p>
    <w:p>
      <w:pPr>
        <w:topLinePunct/>
        <w:spacing w:line="440" w:lineRule="exact"/>
        <w:ind w:firstLine="420" w:firstLineChars="200"/>
        <w:rPr>
          <w:rFonts w:ascii="Times New Roman" w:hAnsi="Times New Roman"/>
          <w:sz w:val="20"/>
        </w:rPr>
      </w:pPr>
      <w:r>
        <w:rPr>
          <w:rFonts w:ascii="Times New Roman" w:hAnsi="Times New Roman"/>
          <w:color w:val="000000"/>
        </w:rPr>
        <w:br w:type="page"/>
      </w:r>
    </w:p>
    <w:p>
      <w:pPr>
        <w:rPr>
          <w:b/>
          <w:bCs/>
          <w:sz w:val="24"/>
          <w:szCs w:val="28"/>
        </w:rPr>
      </w:pPr>
      <w:bookmarkStart w:id="75" w:name="_Toc501460796"/>
      <w:r>
        <w:rPr>
          <w:b/>
          <w:bCs/>
          <w:sz w:val="24"/>
          <w:szCs w:val="28"/>
        </w:rPr>
        <w:t>（</w:t>
      </w:r>
      <w:r>
        <w:rPr>
          <w:rFonts w:hint="eastAsia"/>
          <w:b/>
          <w:bCs/>
          <w:sz w:val="24"/>
          <w:szCs w:val="28"/>
        </w:rPr>
        <w:t>二</w:t>
      </w:r>
      <w:r>
        <w:rPr>
          <w:b/>
          <w:bCs/>
          <w:sz w:val="24"/>
          <w:szCs w:val="28"/>
        </w:rPr>
        <w:t>）近年完成的类似项目情况表</w:t>
      </w:r>
      <w:bookmarkEnd w:id="75"/>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ascii="Times New Roman" w:hAnsi="Times New Roman"/>
                <w:szCs w:val="21"/>
              </w:rPr>
            </w:pPr>
            <w:r>
              <w:rPr>
                <w:rFonts w:ascii="Times New Roman" w:hAnsi="Times New Roman"/>
                <w:szCs w:val="21"/>
              </w:rPr>
              <w:t>项目名称</w:t>
            </w:r>
          </w:p>
        </w:tc>
        <w:tc>
          <w:tcPr>
            <w:tcW w:w="6253" w:type="dxa"/>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ascii="Times New Roman" w:hAnsi="Times New Roman"/>
                <w:szCs w:val="21"/>
              </w:rPr>
            </w:pPr>
            <w:r>
              <w:rPr>
                <w:rFonts w:ascii="Times New Roman" w:hAnsi="Times New Roman"/>
                <w:szCs w:val="21"/>
              </w:rPr>
              <w:t>买方名称</w:t>
            </w:r>
          </w:p>
        </w:tc>
        <w:tc>
          <w:tcPr>
            <w:tcW w:w="6253" w:type="dxa"/>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ascii="Times New Roman" w:hAnsi="Times New Roman"/>
                <w:szCs w:val="21"/>
              </w:rPr>
            </w:pPr>
            <w:r>
              <w:rPr>
                <w:rFonts w:hint="eastAsia" w:ascii="Times New Roman" w:hAnsi="Times New Roman"/>
                <w:szCs w:val="21"/>
              </w:rPr>
              <w:t>货物数量（套）</w:t>
            </w:r>
          </w:p>
        </w:tc>
        <w:tc>
          <w:tcPr>
            <w:tcW w:w="6253" w:type="dxa"/>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szCs w:val="21"/>
              </w:rPr>
            </w:pPr>
            <w:r>
              <w:rPr>
                <w:rFonts w:ascii="Times New Roman" w:hAnsi="Times New Roman"/>
                <w:szCs w:val="21"/>
              </w:rPr>
              <w:t>项目概况及投标人履约情况</w:t>
            </w:r>
          </w:p>
        </w:tc>
        <w:tc>
          <w:tcPr>
            <w:tcW w:w="6253" w:type="dxa"/>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253" w:type="dxa"/>
          </w:tcPr>
          <w:p>
            <w:pPr>
              <w:topLinePunct/>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投标人应在本表后附相关证明材料。</w:t>
      </w:r>
    </w:p>
    <w:p>
      <w:pPr>
        <w:spacing w:line="440" w:lineRule="exact"/>
        <w:rPr>
          <w:rFonts w:ascii="Times New Roman" w:hAnsi="Times New Roman"/>
        </w:rPr>
      </w:pPr>
    </w:p>
    <w:p>
      <w:pPr>
        <w:topLinePunct/>
        <w:spacing w:line="440" w:lineRule="exact"/>
        <w:rPr>
          <w:rFonts w:ascii="Times New Roman" w:hAnsi="Times New Roman"/>
        </w:rPr>
      </w:pPr>
    </w:p>
    <w:bookmarkEnd w:id="72"/>
    <w:p>
      <w:pPr>
        <w:spacing w:before="312" w:beforeLines="100" w:after="312" w:afterLines="100" w:line="360" w:lineRule="auto"/>
        <w:ind w:right="561"/>
        <w:jc w:val="center"/>
        <w:rPr>
          <w:rFonts w:ascii="Times New Roman" w:hAnsi="Times New Roman"/>
          <w:b/>
          <w:bCs/>
        </w:rPr>
      </w:pPr>
      <w:r>
        <w:rPr>
          <w:rFonts w:ascii="Times New Roman" w:hAnsi="Times New Roman"/>
        </w:rPr>
        <w:br w:type="page"/>
      </w:r>
      <w:bookmarkStart w:id="76" w:name="_Toc501460800"/>
      <w:r>
        <w:rPr>
          <w:rFonts w:hint="eastAsia" w:cs="宋体" w:asciiTheme="minorEastAsia" w:hAnsiTheme="minorEastAsia" w:eastAsiaTheme="minorEastAsia"/>
          <w:sz w:val="28"/>
          <w:szCs w:val="28"/>
        </w:rPr>
        <w:t>七、</w:t>
      </w:r>
      <w:r>
        <w:rPr>
          <w:rFonts w:cs="宋体" w:asciiTheme="minorEastAsia" w:hAnsiTheme="minorEastAsia" w:eastAsiaTheme="minorEastAsia"/>
          <w:sz w:val="28"/>
          <w:szCs w:val="28"/>
        </w:rPr>
        <w:t>投标设备技术性能指标的详细描述</w:t>
      </w:r>
      <w:bookmarkEnd w:id="76"/>
      <w:bookmarkStart w:id="77" w:name="_Toc501460801"/>
    </w:p>
    <w:p>
      <w:r>
        <w:rPr>
          <w:rFonts w:hint="eastAsia"/>
        </w:rPr>
        <w:t>此章节为技术规范书响应部分。</w:t>
      </w:r>
    </w:p>
    <w:p>
      <w:pPr>
        <w:spacing w:before="312" w:beforeLines="100" w:after="312" w:afterLines="100" w:line="360" w:lineRule="auto"/>
        <w:ind w:right="561"/>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八</w:t>
      </w:r>
      <w:r>
        <w:rPr>
          <w:rFonts w:cs="宋体" w:asciiTheme="minorEastAsia" w:hAnsiTheme="minorEastAsia" w:eastAsiaTheme="minorEastAsia"/>
          <w:sz w:val="28"/>
          <w:szCs w:val="28"/>
        </w:rPr>
        <w:t>、技术支持资料</w:t>
      </w:r>
      <w:bookmarkEnd w:id="77"/>
    </w:p>
    <w:p>
      <w:r>
        <w:rPr>
          <w:rFonts w:hint="eastAsia"/>
        </w:rPr>
        <w:t>此章节为投标人基于对技术规范书的理解提供的技术方案部分。</w:t>
      </w:r>
    </w:p>
    <w:p>
      <w:pPr>
        <w:spacing w:before="312" w:beforeLines="100" w:after="312" w:afterLines="100" w:line="360" w:lineRule="auto"/>
        <w:ind w:right="561"/>
        <w:jc w:val="center"/>
        <w:rPr>
          <w:rFonts w:cs="宋体" w:asciiTheme="minorEastAsia" w:hAnsiTheme="minorEastAsia" w:eastAsiaTheme="minorEastAsia"/>
          <w:sz w:val="28"/>
          <w:szCs w:val="28"/>
        </w:rPr>
      </w:pPr>
      <w:bookmarkStart w:id="78" w:name="_Toc501460802"/>
      <w:r>
        <w:rPr>
          <w:rFonts w:hint="eastAsia" w:cs="宋体" w:asciiTheme="minorEastAsia" w:hAnsiTheme="minorEastAsia" w:eastAsiaTheme="minorEastAsia"/>
          <w:sz w:val="28"/>
          <w:szCs w:val="28"/>
        </w:rPr>
        <w:t>九</w:t>
      </w:r>
      <w:r>
        <w:rPr>
          <w:rFonts w:cs="宋体" w:asciiTheme="minorEastAsia" w:hAnsiTheme="minorEastAsia" w:eastAsiaTheme="minorEastAsia"/>
          <w:sz w:val="28"/>
          <w:szCs w:val="28"/>
        </w:rPr>
        <w:t>、技术服务和质保期服务计划</w:t>
      </w:r>
      <w:bookmarkEnd w:id="78"/>
    </w:p>
    <w:p>
      <w:r>
        <w:rPr>
          <w:rFonts w:hint="eastAsia"/>
        </w:rPr>
        <w:t>此章节表述应包含质保期内的技术服务和售后方案以及质保期后的维保解决方案。</w:t>
      </w:r>
    </w:p>
    <w:p>
      <w:pPr>
        <w:spacing w:before="312" w:beforeLines="100" w:after="312" w:afterLines="100" w:line="360" w:lineRule="auto"/>
        <w:ind w:right="561"/>
        <w:jc w:val="center"/>
        <w:rPr>
          <w:rFonts w:cs="宋体" w:asciiTheme="minorEastAsia" w:hAnsiTheme="minorEastAsia" w:eastAsiaTheme="minorEastAsia"/>
          <w:sz w:val="28"/>
          <w:szCs w:val="28"/>
        </w:rPr>
      </w:pPr>
      <w:bookmarkStart w:id="79" w:name="_Toc501460803"/>
      <w:r>
        <w:rPr>
          <w:rFonts w:cs="宋体" w:asciiTheme="minorEastAsia" w:hAnsiTheme="minorEastAsia" w:eastAsiaTheme="minorEastAsia"/>
          <w:sz w:val="28"/>
          <w:szCs w:val="28"/>
        </w:rPr>
        <w:br w:type="page"/>
      </w:r>
    </w:p>
    <w:p>
      <w:pPr>
        <w:spacing w:before="312" w:beforeLines="100" w:after="312" w:afterLines="100" w:line="360" w:lineRule="auto"/>
        <w:jc w:val="center"/>
        <w:rPr>
          <w:rFonts w:cs="宋体" w:asciiTheme="minorEastAsia" w:hAnsiTheme="minorEastAsia" w:eastAsiaTheme="minorEastAsia"/>
          <w:bCs/>
          <w:sz w:val="28"/>
          <w:szCs w:val="28"/>
        </w:rPr>
      </w:pPr>
      <w:r>
        <w:rPr>
          <w:rFonts w:hint="eastAsia" w:cs="宋体" w:asciiTheme="minorEastAsia" w:hAnsiTheme="minorEastAsia" w:eastAsiaTheme="minorEastAsia"/>
          <w:sz w:val="28"/>
          <w:szCs w:val="28"/>
          <w:lang w:val="en-US" w:eastAsia="zh-CN"/>
        </w:rPr>
        <w:t>十、</w:t>
      </w:r>
      <w:r>
        <w:rPr>
          <w:rFonts w:hint="eastAsia" w:cs="宋体" w:asciiTheme="minorEastAsia" w:hAnsiTheme="minorEastAsia" w:eastAsiaTheme="minorEastAsia"/>
          <w:bCs/>
          <w:sz w:val="28"/>
          <w:szCs w:val="28"/>
        </w:rPr>
        <w:t>廉洁投标承诺书</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致：厦门</w:t>
      </w:r>
      <w:r>
        <w:rPr>
          <w:rFonts w:hint="eastAsia" w:cs="宋体" w:asciiTheme="minorEastAsia" w:hAnsiTheme="minorEastAsia" w:eastAsiaTheme="minorEastAsia"/>
          <w:sz w:val="24"/>
          <w:szCs w:val="24"/>
          <w:lang w:eastAsia="zh-Hans"/>
        </w:rPr>
        <w:t>启润零碳</w:t>
      </w:r>
      <w:r>
        <w:rPr>
          <w:rFonts w:hint="eastAsia" w:cs="宋体" w:asciiTheme="minorEastAsia" w:hAnsiTheme="minorEastAsia" w:eastAsiaTheme="minorEastAsia"/>
          <w:sz w:val="24"/>
          <w:szCs w:val="24"/>
        </w:rPr>
        <w:t>数字科技有限公司：</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为了积极配合贵单位进行的编号为</w:t>
      </w:r>
      <w:r>
        <w:rPr>
          <w:rFonts w:hint="eastAsia" w:cs="宋体" w:asciiTheme="minorEastAsia" w:hAnsiTheme="minorEastAsia" w:eastAsiaTheme="minorEastAsia"/>
          <w:sz w:val="24"/>
          <w:szCs w:val="24"/>
        </w:rPr>
        <w:t>QRLT-IT-20230720的招标项目的招标工作，有效遏制不公平竞争和违规违纪问题的发生，确保招标工作的公平、公正、公开，我们保证认真贯彻《招投标法》等相关规定以及有关廉洁要求，特向贵单位承诺如下事项：</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1.自觉遵守国家法律法规及有关廉政建设制度。</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2.不使用不正当手段妨碍、排挤其它投标单位或串通投标。</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3.按照招标文件规定的方式进行投标，不隐瞒本单位投标资质的真实情况，投标资质符合规定。</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4.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5.不向本项目涉及招标的单位及个人购置或提供通讯工具、交通工具和高档办公用品等。</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6.不向本项目所涉招标单位人员的配偶、子女分包此次招标项目。</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7.不向本项目所涉招标单位人员支付好处费、介绍费。</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8.一旦发现相关人员在招标过程中有索要财物等不廉洁行为，坚决予以抵制，并及时向厦门</w:t>
      </w:r>
      <w:r>
        <w:rPr>
          <w:rFonts w:hint="eastAsia" w:cs="宋体" w:asciiTheme="minorEastAsia" w:hAnsiTheme="minorEastAsia" w:eastAsiaTheme="minorEastAsia"/>
          <w:sz w:val="24"/>
          <w:szCs w:val="24"/>
          <w:lang w:eastAsia="zh-Hans"/>
        </w:rPr>
        <w:t>启润零碳</w:t>
      </w:r>
      <w:r>
        <w:rPr>
          <w:rFonts w:hint="eastAsia" w:cs="宋体" w:asciiTheme="minorEastAsia" w:hAnsiTheme="minorEastAsia" w:eastAsiaTheme="minorEastAsia"/>
          <w:sz w:val="24"/>
          <w:szCs w:val="24"/>
        </w:rPr>
        <w:t>数字科技有限公司总经办</w:t>
      </w:r>
      <w:r>
        <w:rPr>
          <w:rFonts w:cs="宋体" w:asciiTheme="minorEastAsia" w:hAnsiTheme="minorEastAsia" w:eastAsiaTheme="minorEastAsia"/>
          <w:sz w:val="24"/>
          <w:szCs w:val="24"/>
        </w:rPr>
        <w:t>举报（举报电话：0592-5898563）。</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9.我们若违反上述承诺，愿接受取消投标资格及其他任何形式的处理。</w:t>
      </w:r>
    </w:p>
    <w:p>
      <w:pPr>
        <w:spacing w:line="360" w:lineRule="auto"/>
        <w:ind w:firstLine="420"/>
        <w:rPr>
          <w:rFonts w:cs="宋体" w:asciiTheme="minorEastAsia" w:hAnsiTheme="minorEastAsia" w:eastAsiaTheme="minorEastAsia"/>
          <w:sz w:val="24"/>
          <w:szCs w:val="24"/>
        </w:rPr>
      </w:pP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投标单位：</w:t>
      </w:r>
      <w:r>
        <w:rPr>
          <w:rFonts w:cs="宋体" w:asciiTheme="minorEastAsia" w:hAnsiTheme="minorEastAsia" w:eastAsiaTheme="minorEastAsia"/>
          <w:sz w:val="24"/>
          <w:szCs w:val="24"/>
        </w:rPr>
        <w:t xml:space="preserve"> </w:t>
      </w: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（公章）</w:t>
      </w: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r>
        <w:rPr>
          <w:rFonts w:cs="宋体" w:asciiTheme="minorEastAsia" w:hAnsiTheme="minorEastAsia" w:eastAsiaTheme="minorEastAsia"/>
          <w:sz w:val="24"/>
          <w:szCs w:val="24"/>
        </w:rPr>
        <w:t xml:space="preserve"> </w:t>
      </w:r>
    </w:p>
    <w:p>
      <w:pPr>
        <w:rPr>
          <w:rFonts w:hint="eastAsia" w:cs="宋体" w:asciiTheme="minorEastAsia" w:hAnsiTheme="minorEastAsia" w:eastAsiaTheme="minorEastAsia"/>
          <w:sz w:val="28"/>
          <w:szCs w:val="28"/>
        </w:rPr>
      </w:pPr>
    </w:p>
    <w:p>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pPr>
        <w:spacing w:before="312" w:beforeLines="100" w:after="312" w:afterLines="100" w:line="360" w:lineRule="auto"/>
        <w:ind w:right="561"/>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十</w:t>
      </w:r>
      <w:r>
        <w:rPr>
          <w:rFonts w:hint="eastAsia" w:cs="宋体" w:asciiTheme="minorEastAsia" w:hAnsiTheme="minorEastAsia" w:eastAsiaTheme="minorEastAsia"/>
          <w:sz w:val="28"/>
          <w:szCs w:val="28"/>
          <w:lang w:val="en-US" w:eastAsia="zh-CN"/>
        </w:rPr>
        <w:t>一</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其他资料</w:t>
      </w:r>
      <w:bookmarkEnd w:id="79"/>
      <w:bookmarkStart w:id="80" w:name="_Hlk139721337"/>
    </w:p>
    <w:p>
      <w:pPr>
        <w:spacing w:before="312" w:beforeLines="100" w:after="312" w:afterLines="100" w:line="360" w:lineRule="auto"/>
        <w:ind w:right="561"/>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1.</w:t>
      </w:r>
      <w:r>
        <w:rPr>
          <w:rFonts w:hint="eastAsia" w:cs="宋体" w:asciiTheme="minorEastAsia" w:hAnsiTheme="minorEastAsia" w:eastAsiaTheme="minorEastAsia"/>
          <w:b/>
          <w:bCs/>
          <w:color w:val="0000FF"/>
          <w:sz w:val="24"/>
          <w:szCs w:val="24"/>
        </w:rPr>
        <w:t>《承诺书》</w:t>
      </w:r>
    </w:p>
    <w:p>
      <w:pPr>
        <w:spacing w:before="312" w:beforeLines="100" w:after="312" w:afterLines="100" w:line="360" w:lineRule="auto"/>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承诺书</w:t>
      </w:r>
    </w:p>
    <w:p>
      <w:pPr>
        <w:pStyle w:val="11"/>
        <w:rPr>
          <w:b/>
          <w:bCs/>
        </w:rPr>
      </w:pPr>
      <w:r>
        <w:rPr>
          <w:rFonts w:hint="eastAsia"/>
          <w:b/>
          <w:bCs/>
        </w:rPr>
        <w:t>致：</w:t>
      </w:r>
      <w:r>
        <w:rPr>
          <w:b/>
          <w:bCs/>
        </w:rPr>
        <w:t>厦门</w:t>
      </w:r>
      <w:r>
        <w:rPr>
          <w:rFonts w:hint="eastAsia"/>
          <w:b/>
          <w:bCs/>
        </w:rPr>
        <w:t>启润零碳数字科技有限公司</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我司就编号为QRLT-IT-20230720的招标项目提交的《</w:t>
      </w:r>
      <w:r>
        <w:rPr>
          <w:rFonts w:hint="eastAsia" w:cs="宋体" w:asciiTheme="minorEastAsia" w:hAnsiTheme="minorEastAsia" w:eastAsiaTheme="minorEastAsia"/>
          <w:sz w:val="24"/>
          <w:szCs w:val="24"/>
          <w:lang w:eastAsia="zh-Hans"/>
        </w:rPr>
        <w:t>“嘉庚号”科考船智能低碳港口船舶岸电系统采购项目</w:t>
      </w:r>
      <w:r>
        <w:rPr>
          <w:rFonts w:hint="eastAsia" w:cs="宋体" w:asciiTheme="minorEastAsia" w:hAnsiTheme="minorEastAsia" w:eastAsiaTheme="minorEastAsia"/>
          <w:sz w:val="24"/>
          <w:szCs w:val="24"/>
        </w:rPr>
        <w:t>》投标向贵司承诺如下：</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1.我司</w:t>
      </w:r>
      <w:r>
        <w:rPr>
          <w:rFonts w:hint="eastAsia" w:cs="宋体" w:asciiTheme="minorEastAsia" w:hAnsiTheme="minorEastAsia" w:eastAsiaTheme="minorEastAsia"/>
          <w:sz w:val="24"/>
          <w:szCs w:val="24"/>
        </w:rPr>
        <w:t>所使用技术及产品知识产权完整清晰，已按照法律取得必要的许可使用授权（若有），不存在任何已发生或可能发生的纠纷，不影响贵司使用。如影响贵司使用或对贵司造成不良影响的，我司承诺将承担一切法律责任，并赔偿贵司相关直接或间接损失。</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2.我司</w:t>
      </w:r>
      <w:r>
        <w:rPr>
          <w:rFonts w:hint="eastAsia" w:cs="宋体" w:asciiTheme="minorEastAsia" w:hAnsiTheme="minorEastAsia" w:eastAsiaTheme="minorEastAsia"/>
          <w:sz w:val="24"/>
          <w:szCs w:val="24"/>
        </w:rPr>
        <w:t>所提供的港口船舶岸电系统性能参数完全满足项目的使用要求。</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特此声明。</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（公章）</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p>
    <w:p>
      <w:pPr>
        <w:spacing w:line="276" w:lineRule="auto"/>
        <w:ind w:right="560" w:firstLine="5180" w:firstLineChars="1850"/>
        <w:rPr>
          <w:rFonts w:cs="宋体" w:asciiTheme="minorEastAsia" w:hAnsiTheme="minorEastAsia" w:eastAsiaTheme="minorEastAsia"/>
          <w:sz w:val="28"/>
          <w:szCs w:val="28"/>
        </w:rPr>
      </w:pPr>
    </w:p>
    <w:p>
      <w:pPr>
        <w:spacing w:line="276" w:lineRule="auto"/>
        <w:ind w:right="560" w:firstLine="5180" w:firstLineChars="1850"/>
        <w:rPr>
          <w:rFonts w:cs="宋体" w:asciiTheme="minorEastAsia" w:hAnsiTheme="minorEastAsia" w:eastAsiaTheme="minorEastAsia"/>
          <w:sz w:val="28"/>
          <w:szCs w:val="28"/>
        </w:rPr>
      </w:pPr>
    </w:p>
    <w:p>
      <w:pPr>
        <w:spacing w:line="276" w:lineRule="auto"/>
        <w:ind w:right="560" w:firstLine="5180" w:firstLineChars="1850"/>
        <w:rPr>
          <w:rFonts w:cs="宋体" w:asciiTheme="minorEastAsia" w:hAnsiTheme="minorEastAsia" w:eastAsiaTheme="minorEastAsia"/>
          <w:sz w:val="28"/>
          <w:szCs w:val="28"/>
        </w:rPr>
      </w:pPr>
    </w:p>
    <w:p>
      <w:pPr>
        <w:widowControl/>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br w:type="page"/>
      </w:r>
    </w:p>
    <w:p>
      <w:pPr>
        <w:spacing w:line="276" w:lineRule="auto"/>
        <w:ind w:right="560"/>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2</w:t>
      </w:r>
      <w:r>
        <w:rPr>
          <w:rFonts w:cs="宋体" w:asciiTheme="minorEastAsia" w:hAnsiTheme="minorEastAsia" w:eastAsiaTheme="minorEastAsia"/>
          <w:b/>
          <w:bCs/>
          <w:sz w:val="24"/>
          <w:szCs w:val="24"/>
        </w:rPr>
        <w:t>.</w:t>
      </w:r>
      <w:r>
        <w:rPr>
          <w:rFonts w:hint="eastAsia" w:cs="宋体" w:asciiTheme="minorEastAsia" w:hAnsiTheme="minorEastAsia" w:eastAsiaTheme="minorEastAsia"/>
          <w:b/>
          <w:bCs/>
          <w:color w:val="0000FF"/>
          <w:sz w:val="24"/>
          <w:szCs w:val="24"/>
        </w:rPr>
        <w:t>《投标确认函》</w:t>
      </w:r>
    </w:p>
    <w:p>
      <w:pPr>
        <w:spacing w:line="276" w:lineRule="auto"/>
        <w:ind w:right="560"/>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投标确认函</w:t>
      </w:r>
    </w:p>
    <w:p>
      <w:pPr>
        <w:pStyle w:val="11"/>
        <w:rPr>
          <w:b/>
          <w:bCs/>
        </w:rPr>
      </w:pPr>
      <w:r>
        <w:rPr>
          <w:rFonts w:hint="eastAsia"/>
          <w:b/>
          <w:bCs/>
        </w:rPr>
        <w:t>致：</w:t>
      </w:r>
      <w:r>
        <w:rPr>
          <w:b/>
          <w:bCs/>
        </w:rPr>
        <w:t>厦门</w:t>
      </w:r>
      <w:r>
        <w:rPr>
          <w:rFonts w:hint="eastAsia"/>
          <w:b/>
          <w:bCs/>
        </w:rPr>
        <w:t>启润零碳数字科技有限公司</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关于贵司编号为</w:t>
      </w:r>
      <w:r>
        <w:rPr>
          <w:rFonts w:hint="eastAsia" w:cs="宋体" w:asciiTheme="minorEastAsia" w:hAnsiTheme="minorEastAsia" w:eastAsiaTheme="minorEastAsia"/>
          <w:sz w:val="24"/>
          <w:szCs w:val="24"/>
        </w:rPr>
        <w:t>QRLT-IT-20230720的招标项目，我司现确认并承诺如下：</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我司已经仔细阅读研究了全部招标文件，包括修改文件（如有）和有关附件，并与招标经办人进行沟通和答疑了解相关情况，将自行承担因对招标文件理解不正确或误解而产生的相应后果。</w:t>
      </w:r>
    </w:p>
    <w:p>
      <w:pPr>
        <w:spacing w:before="312" w:beforeLines="100" w:after="312" w:afterLines="100" w:line="360" w:lineRule="auto"/>
        <w:ind w:right="560"/>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我司在此谨表示有积极的意愿承接上述项目。</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我司已充分注意到招标文件中的所有内容和基本要求，并且充分认识到符合这些要求是我司的义务，我司将按招标文件的规定履行合同责任和义务。</w:t>
      </w:r>
    </w:p>
    <w:p>
      <w:pPr>
        <w:spacing w:before="312" w:beforeLines="100" w:after="312" w:afterLines="100" w:line="360" w:lineRule="auto"/>
        <w:ind w:right="56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我司将对贵司提供的相关资料予以保密。</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我司同意在收到招标文件后，在规定期间内提供投标文件的全部内容，我们保证所提交的材料中所含的信息均为真实、准确、完整，且不具有任何误导性。</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6．如违反上述承诺，我司愿根据招标文件要求承担相应责任。</w:t>
      </w:r>
    </w:p>
    <w:p>
      <w:pPr>
        <w:spacing w:before="312" w:beforeLines="100" w:after="312" w:afterLines="100" w:line="360" w:lineRule="auto"/>
        <w:ind w:right="560"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与本投标有关的一切正式往来通讯请寄通讯地址：</w:t>
      </w:r>
      <w:r>
        <w:rPr>
          <w:rFonts w:cs="宋体" w:asciiTheme="minorEastAsia" w:hAnsiTheme="minorEastAsia" w:eastAsiaTheme="minorEastAsia"/>
          <w:sz w:val="24"/>
          <w:szCs w:val="24"/>
        </w:rPr>
        <w:t xml:space="preserve">     </w:t>
      </w:r>
    </w:p>
    <w:p>
      <w:pPr>
        <w:spacing w:before="312" w:beforeLines="100" w:after="312" w:afterLines="100" w:line="360" w:lineRule="auto"/>
        <w:ind w:right="560" w:firstLine="480" w:firstLineChars="200"/>
        <w:rPr>
          <w:rFonts w:cs="宋体" w:asciiTheme="minorEastAsia" w:hAnsiTheme="minorEastAsia" w:eastAsiaTheme="minorEastAsia"/>
          <w:sz w:val="24"/>
          <w:szCs w:val="24"/>
        </w:rPr>
      </w:pP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电话：</w:t>
      </w: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w:t>
      </w:r>
      <w:r>
        <w:rPr>
          <w:rFonts w:cs="宋体" w:asciiTheme="minorEastAsia" w:hAnsiTheme="minorEastAsia" w:eastAsiaTheme="minorEastAsia"/>
          <w:sz w:val="24"/>
          <w:szCs w:val="24"/>
        </w:rPr>
        <w:t xml:space="preserve">(公章): </w:t>
      </w: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p>
    <w:p>
      <w:pPr>
        <w:spacing w:line="360" w:lineRule="auto"/>
        <w:rPr>
          <w:rFonts w:cs="宋体" w:asciiTheme="minorEastAsia" w:hAnsiTheme="minorEastAsia" w:eastAsiaTheme="minorEastAsia"/>
          <w:sz w:val="24"/>
          <w:szCs w:val="24"/>
        </w:rPr>
      </w:pPr>
    </w:p>
    <w:bookmarkEnd w:id="80"/>
    <w:p>
      <w:pPr>
        <w:spacing w:line="360" w:lineRule="auto"/>
        <w:ind w:firstLine="3570" w:firstLineChars="1700"/>
        <w:rPr>
          <w:rFonts w:asciiTheme="minorEastAsia" w:hAnsiTheme="minorEastAsia" w:eastAsiaTheme="minorEastAsia"/>
        </w:rPr>
      </w:pP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开标</w:t>
      </w:r>
    </w:p>
    <w:p>
      <w:pPr>
        <w:pStyle w:val="5"/>
        <w:spacing w:line="500" w:lineRule="exact"/>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7</w:t>
      </w:r>
      <w:r>
        <w:rPr>
          <w:rFonts w:cs="宋体" w:asciiTheme="minorEastAsia" w:hAnsiTheme="minorEastAsia" w:eastAsiaTheme="minorEastAsia"/>
          <w:b w:val="0"/>
          <w:sz w:val="24"/>
          <w:szCs w:val="24"/>
        </w:rPr>
        <w:t>.1 开标时间和地点</w:t>
      </w:r>
    </w:p>
    <w:p>
      <w:pPr>
        <w:spacing w:line="400" w:lineRule="exact"/>
        <w:ind w:firstLine="480" w:firstLineChars="200"/>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开标时间：</w:t>
      </w:r>
      <w:r>
        <w:rPr>
          <w:rFonts w:hint="eastAsia" w:cs="宋体" w:asciiTheme="minorEastAsia" w:hAnsiTheme="minorEastAsia" w:eastAsiaTheme="minorEastAsia"/>
          <w:bCs/>
          <w:sz w:val="24"/>
          <w:szCs w:val="24"/>
          <w:highlight w:val="yellow"/>
        </w:rPr>
        <w:t>2023</w:t>
      </w:r>
      <w:r>
        <w:rPr>
          <w:rFonts w:hint="eastAsia" w:cs="宋体" w:asciiTheme="minorEastAsia" w:hAnsiTheme="minorEastAsia" w:eastAsiaTheme="minorEastAsia"/>
          <w:bCs/>
          <w:sz w:val="24"/>
          <w:szCs w:val="24"/>
          <w:highlight w:val="yellow"/>
          <w:lang w:val="en-US" w:eastAsia="zh-CN"/>
        </w:rPr>
        <w:t>年8月23日</w:t>
      </w:r>
      <w:r>
        <w:rPr>
          <w:rFonts w:hint="eastAsia" w:cs="宋体" w:asciiTheme="minorEastAsia" w:hAnsiTheme="minorEastAsia" w:eastAsiaTheme="minorEastAsia"/>
          <w:bCs/>
          <w:sz w:val="24"/>
          <w:szCs w:val="24"/>
          <w:highlight w:val="yellow"/>
        </w:rPr>
        <w:t xml:space="preserve"> 15:00:00</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所有投标人的法定代表人（单位负责人）或其委托代理人准时参加。</w:t>
      </w:r>
    </w:p>
    <w:p>
      <w:pPr>
        <w:pStyle w:val="5"/>
        <w:spacing w:line="500" w:lineRule="exact"/>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7</w:t>
      </w:r>
      <w:r>
        <w:rPr>
          <w:rFonts w:cs="宋体" w:asciiTheme="minorEastAsia" w:hAnsiTheme="minorEastAsia" w:eastAsiaTheme="minorEastAsia"/>
          <w:b w:val="0"/>
          <w:sz w:val="24"/>
          <w:szCs w:val="24"/>
        </w:rPr>
        <w:t>.2 开标程序</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主持人按下列程序进行开标：</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（1）宣布开标纪律；</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（2）公布在投标截止时间前递交投标文件的投标人名称；</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（3）宣布开标人、唱标人、记录人、监标人等有关人员姓名；</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（4）</w:t>
      </w:r>
      <w:r>
        <w:rPr>
          <w:rFonts w:hint="eastAsia" w:cs="宋体" w:asciiTheme="minorEastAsia" w:hAnsiTheme="minorEastAsia" w:eastAsiaTheme="minorEastAsia"/>
          <w:bCs/>
          <w:sz w:val="24"/>
          <w:szCs w:val="24"/>
        </w:rPr>
        <w:t>投</w:t>
      </w:r>
      <w:r>
        <w:rPr>
          <w:rFonts w:cs="宋体" w:asciiTheme="minorEastAsia" w:hAnsiTheme="minorEastAsia" w:eastAsiaTheme="minorEastAsia"/>
          <w:bCs/>
          <w:sz w:val="24"/>
          <w:szCs w:val="24"/>
        </w:rPr>
        <w:t>标人对已递交的投标文件进行解密，公布招标项目名称、投标人名称、投标保证金的递交情况、投标报价及其他内容，并记录在案；</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（5）投标人代表、招标人代表、监标人、记录人等有关人员在开标记录上签字确认；</w:t>
      </w:r>
    </w:p>
    <w:p>
      <w:pPr>
        <w:spacing w:line="4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（6）开标结束。</w:t>
      </w:r>
    </w:p>
    <w:p>
      <w:pPr>
        <w:pStyle w:val="5"/>
        <w:spacing w:line="500" w:lineRule="exact"/>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7</w:t>
      </w:r>
      <w:r>
        <w:rPr>
          <w:rFonts w:cs="宋体" w:asciiTheme="minorEastAsia" w:hAnsiTheme="minorEastAsia" w:eastAsiaTheme="minorEastAsia"/>
          <w:b w:val="0"/>
          <w:sz w:val="24"/>
          <w:szCs w:val="24"/>
        </w:rPr>
        <w:t>.</w:t>
      </w:r>
      <w:r>
        <w:rPr>
          <w:rFonts w:hint="eastAsia" w:cs="宋体" w:asciiTheme="minorEastAsia" w:hAnsiTheme="minorEastAsia" w:eastAsiaTheme="minorEastAsia"/>
          <w:b w:val="0"/>
          <w:sz w:val="24"/>
          <w:szCs w:val="24"/>
        </w:rPr>
        <w:t>3</w:t>
      </w:r>
      <w:r>
        <w:rPr>
          <w:rFonts w:cs="宋体" w:asciiTheme="minorEastAsia" w:hAnsiTheme="minorEastAsia" w:eastAsiaTheme="minorEastAsia"/>
          <w:b w:val="0"/>
          <w:sz w:val="24"/>
          <w:szCs w:val="24"/>
        </w:rPr>
        <w:t xml:space="preserve"> 开标</w:t>
      </w:r>
      <w:r>
        <w:rPr>
          <w:rFonts w:hint="eastAsia" w:cs="宋体" w:asciiTheme="minorEastAsia" w:hAnsiTheme="minorEastAsia" w:eastAsiaTheme="minorEastAsia"/>
          <w:b w:val="0"/>
          <w:sz w:val="24"/>
          <w:szCs w:val="24"/>
        </w:rPr>
        <w:t>异议</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投标人对开标有异议的，应当在开标现场提出，招标人当场作出答复，并制作记录。</w:t>
      </w:r>
    </w:p>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评标</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8</w:t>
      </w:r>
      <w:r>
        <w:rPr>
          <w:rFonts w:cs="宋体" w:asciiTheme="minorEastAsia" w:hAnsiTheme="minorEastAsia" w:eastAsiaTheme="minorEastAsia"/>
          <w:bCs/>
          <w:sz w:val="24"/>
          <w:szCs w:val="24"/>
        </w:rPr>
        <w:t>.1在投标人提交《投标书》时间截止后，招标</w:t>
      </w:r>
      <w:r>
        <w:rPr>
          <w:rFonts w:hint="eastAsia" w:cs="宋体" w:asciiTheme="minorEastAsia" w:hAnsiTheme="minorEastAsia" w:eastAsiaTheme="minorEastAsia"/>
          <w:bCs/>
          <w:sz w:val="24"/>
          <w:szCs w:val="24"/>
        </w:rPr>
        <w:t>人</w:t>
      </w:r>
      <w:r>
        <w:rPr>
          <w:rFonts w:cs="宋体" w:asciiTheme="minorEastAsia" w:hAnsiTheme="minorEastAsia" w:eastAsiaTheme="minorEastAsia"/>
          <w:bCs/>
          <w:sz w:val="24"/>
          <w:szCs w:val="24"/>
        </w:rPr>
        <w:t>将召开评标会议，本着公平合理的原则进行综合评审，确定中标单位，评标结果将另行通知投标单位。</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8</w:t>
      </w:r>
      <w:r>
        <w:rPr>
          <w:rFonts w:cs="宋体" w:asciiTheme="minorEastAsia" w:hAnsiTheme="minorEastAsia" w:eastAsiaTheme="minorEastAsia"/>
          <w:bCs/>
          <w:sz w:val="24"/>
          <w:szCs w:val="24"/>
        </w:rPr>
        <w:t xml:space="preserve">.2 </w:t>
      </w:r>
      <w:r>
        <w:rPr>
          <w:rFonts w:hint="eastAsia" w:cs="宋体" w:asciiTheme="minorEastAsia" w:hAnsiTheme="minorEastAsia" w:eastAsiaTheme="minorEastAsia"/>
          <w:bCs/>
          <w:sz w:val="24"/>
          <w:szCs w:val="24"/>
        </w:rPr>
        <w:t>评标细则</w:t>
      </w:r>
    </w:p>
    <w:p>
      <w:pPr>
        <w:spacing w:line="500" w:lineRule="exact"/>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采用综合评分办法，确定</w:t>
      </w:r>
      <w:r>
        <w:rPr>
          <w:rFonts w:hint="eastAsia" w:asciiTheme="minorEastAsia" w:hAnsiTheme="minorEastAsia" w:eastAsiaTheme="minorEastAsia"/>
          <w:bCs/>
          <w:sz w:val="24"/>
          <w:szCs w:val="24"/>
        </w:rPr>
        <w:t>中标侯选供应商</w:t>
      </w:r>
      <w:r>
        <w:rPr>
          <w:rFonts w:asciiTheme="minorEastAsia" w:hAnsiTheme="minorEastAsia" w:eastAsiaTheme="minorEastAsia"/>
          <w:bCs/>
          <w:sz w:val="24"/>
          <w:szCs w:val="24"/>
        </w:rPr>
        <w:t>。分值由价格、</w:t>
      </w:r>
      <w:r>
        <w:rPr>
          <w:rFonts w:hint="eastAsia" w:asciiTheme="minorEastAsia" w:hAnsiTheme="minorEastAsia" w:eastAsiaTheme="minorEastAsia"/>
          <w:bCs/>
          <w:sz w:val="24"/>
          <w:szCs w:val="24"/>
        </w:rPr>
        <w:t>商务、技术</w:t>
      </w:r>
      <w:r>
        <w:rPr>
          <w:rFonts w:asciiTheme="minorEastAsia" w:hAnsiTheme="minorEastAsia" w:eastAsiaTheme="minorEastAsia"/>
          <w:bCs/>
          <w:sz w:val="24"/>
          <w:szCs w:val="24"/>
        </w:rPr>
        <w:t>三部分构成，采用百分制</w:t>
      </w:r>
      <w:r>
        <w:rPr>
          <w:rFonts w:hint="eastAsia" w:asciiTheme="minorEastAsia" w:hAnsiTheme="minorEastAsia" w:eastAsiaTheme="minorEastAsia"/>
          <w:bCs/>
          <w:sz w:val="24"/>
          <w:szCs w:val="24"/>
        </w:rPr>
        <w:t>。评标委员会按评审后投标供应商综合得分由高到低排列顺序。得分相同的，按报价由低到高顺序排列；得分且价格相同的，按技术指标优劣顺序排列</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评标委员会根据各技术方向类别供应商的综合得分从高到低推荐</w:t>
      </w:r>
      <w:r>
        <w:rPr>
          <w:rFonts w:asciiTheme="minorEastAsia" w:hAnsiTheme="minorEastAsia" w:eastAsiaTheme="minorEastAsia"/>
          <w:sz w:val="24"/>
          <w:szCs w:val="24"/>
        </w:rPr>
        <w:t>多</w:t>
      </w:r>
      <w:r>
        <w:rPr>
          <w:rFonts w:hint="eastAsia" w:asciiTheme="minorEastAsia" w:hAnsiTheme="minorEastAsia" w:eastAsiaTheme="minorEastAsia"/>
          <w:sz w:val="24"/>
          <w:szCs w:val="24"/>
        </w:rPr>
        <w:t>名中标侯选供应商。</w:t>
      </w:r>
    </w:p>
    <w:p>
      <w:pPr>
        <w:jc w:val="center"/>
        <w:rPr>
          <w:b/>
          <w:bCs/>
          <w:color w:val="000000"/>
        </w:rPr>
      </w:pPr>
      <w:r>
        <w:rPr>
          <w:rFonts w:hint="eastAsia"/>
          <w:b/>
          <w:bCs/>
          <w:color w:val="000000"/>
        </w:rPr>
        <w:t>价格评分标准（满分3</w:t>
      </w:r>
      <w:r>
        <w:rPr>
          <w:b/>
          <w:bCs/>
          <w:color w:val="000000"/>
        </w:rPr>
        <w:t>0</w:t>
      </w:r>
      <w:r>
        <w:rPr>
          <w:rFonts w:hint="eastAsia"/>
          <w:b/>
          <w:bCs/>
          <w:color w:val="000000"/>
        </w:rPr>
        <w:t>分）</w:t>
      </w:r>
    </w:p>
    <w:p>
      <w:pPr>
        <w:rPr>
          <w:color w:val="000000"/>
        </w:rPr>
      </w:pPr>
    </w:p>
    <w:tbl>
      <w:tblPr>
        <w:tblStyle w:val="25"/>
        <w:tblW w:w="833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1515"/>
        <w:gridCol w:w="753"/>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blCellSpacing w:w="0" w:type="dxa"/>
        </w:trPr>
        <w:tc>
          <w:tcPr>
            <w:tcW w:w="575" w:type="dxa"/>
            <w:shd w:val="clear" w:color="auto" w:fill="FFFFFF"/>
            <w:vAlign w:val="center"/>
          </w:tcPr>
          <w:p>
            <w:pPr>
              <w:spacing w:line="360" w:lineRule="auto"/>
              <w:jc w:val="center"/>
              <w:rPr>
                <w:color w:val="000000"/>
              </w:rPr>
            </w:pPr>
            <w:r>
              <w:rPr>
                <w:rFonts w:hint="eastAsia"/>
                <w:b/>
                <w:bCs/>
                <w:color w:val="000000"/>
              </w:rPr>
              <w:t>序号</w:t>
            </w:r>
          </w:p>
        </w:tc>
        <w:tc>
          <w:tcPr>
            <w:tcW w:w="1515" w:type="dxa"/>
            <w:shd w:val="clear" w:color="auto" w:fill="FFFFFF"/>
            <w:vAlign w:val="center"/>
          </w:tcPr>
          <w:p>
            <w:pPr>
              <w:spacing w:line="360" w:lineRule="auto"/>
              <w:jc w:val="center"/>
              <w:rPr>
                <w:color w:val="000000"/>
              </w:rPr>
            </w:pPr>
            <w:r>
              <w:rPr>
                <w:rFonts w:hint="eastAsia"/>
                <w:b/>
                <w:bCs/>
                <w:color w:val="000000"/>
              </w:rPr>
              <w:t>评分项目</w:t>
            </w:r>
          </w:p>
        </w:tc>
        <w:tc>
          <w:tcPr>
            <w:tcW w:w="753" w:type="dxa"/>
            <w:shd w:val="clear" w:color="auto" w:fill="FFFFFF"/>
            <w:vAlign w:val="center"/>
          </w:tcPr>
          <w:p>
            <w:pPr>
              <w:spacing w:line="360" w:lineRule="auto"/>
              <w:jc w:val="center"/>
              <w:rPr>
                <w:color w:val="000000"/>
              </w:rPr>
            </w:pPr>
            <w:r>
              <w:rPr>
                <w:rFonts w:hint="eastAsia"/>
                <w:b/>
                <w:bCs/>
                <w:color w:val="000000"/>
              </w:rPr>
              <w:t>分值</w:t>
            </w:r>
          </w:p>
        </w:tc>
        <w:tc>
          <w:tcPr>
            <w:tcW w:w="5489" w:type="dxa"/>
            <w:shd w:val="clear" w:color="auto" w:fill="FFFFFF"/>
            <w:vAlign w:val="center"/>
          </w:tcPr>
          <w:p>
            <w:pPr>
              <w:spacing w:line="360" w:lineRule="auto"/>
              <w:jc w:val="center"/>
              <w:rPr>
                <w:color w:val="000000"/>
              </w:rPr>
            </w:pPr>
            <w:r>
              <w:rPr>
                <w:rFonts w:hint="eastAsia"/>
                <w:b/>
                <w:bCs/>
                <w:color w:val="000000"/>
              </w:rPr>
              <w:t>评</w:t>
            </w:r>
            <w:r>
              <w:rPr>
                <w:b/>
                <w:bCs/>
                <w:color w:val="000000"/>
              </w:rPr>
              <w:t xml:space="preserve"> </w:t>
            </w:r>
            <w:r>
              <w:rPr>
                <w:rFonts w:hint="eastAsia"/>
                <w:b/>
                <w:bCs/>
                <w:color w:val="000000"/>
              </w:rPr>
              <w:t>分</w:t>
            </w:r>
            <w:r>
              <w:rPr>
                <w:b/>
                <w:bCs/>
                <w:color w:val="000000"/>
              </w:rPr>
              <w:t xml:space="preserve"> </w:t>
            </w:r>
            <w:r>
              <w:rPr>
                <w:rFonts w:hint="eastAsia"/>
                <w:b/>
                <w:bCs/>
                <w:color w:val="000000"/>
              </w:rPr>
              <w:t>标</w:t>
            </w:r>
            <w:r>
              <w:rPr>
                <w:b/>
                <w:bCs/>
                <w:color w:val="000000"/>
              </w:rPr>
              <w:t xml:space="preserve"> </w:t>
            </w:r>
            <w:r>
              <w:rPr>
                <w:rFonts w:hint="eastAsia"/>
                <w:b/>
                <w:bCs/>
                <w:color w:val="000000"/>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575" w:type="dxa"/>
            <w:shd w:val="clear" w:color="auto" w:fill="FFFFFF"/>
            <w:vAlign w:val="center"/>
          </w:tcPr>
          <w:p>
            <w:pPr>
              <w:spacing w:line="360" w:lineRule="auto"/>
              <w:jc w:val="center"/>
              <w:rPr>
                <w:color w:val="000000"/>
              </w:rPr>
            </w:pPr>
            <w:r>
              <w:rPr>
                <w:color w:val="000000"/>
              </w:rPr>
              <w:t>1</w:t>
            </w:r>
          </w:p>
        </w:tc>
        <w:tc>
          <w:tcPr>
            <w:tcW w:w="1515" w:type="dxa"/>
            <w:shd w:val="clear" w:color="auto" w:fill="FFFFFF"/>
            <w:vAlign w:val="center"/>
          </w:tcPr>
          <w:p>
            <w:pPr>
              <w:spacing w:line="360" w:lineRule="auto"/>
              <w:jc w:val="center"/>
            </w:pPr>
            <w:r>
              <w:rPr>
                <w:rFonts w:hint="eastAsia"/>
              </w:rPr>
              <w:t>投标报价</w:t>
            </w:r>
          </w:p>
        </w:tc>
        <w:tc>
          <w:tcPr>
            <w:tcW w:w="753" w:type="dxa"/>
            <w:shd w:val="clear" w:color="auto" w:fill="FFFFFF"/>
            <w:vAlign w:val="center"/>
          </w:tcPr>
          <w:p>
            <w:pPr>
              <w:spacing w:line="360" w:lineRule="auto"/>
              <w:jc w:val="center"/>
            </w:pPr>
            <w:r>
              <w:rPr>
                <w:rFonts w:hint="eastAsia"/>
              </w:rPr>
              <w:t>3</w:t>
            </w:r>
            <w:r>
              <w:t>0</w:t>
            </w:r>
          </w:p>
        </w:tc>
        <w:tc>
          <w:tcPr>
            <w:tcW w:w="5489" w:type="dxa"/>
            <w:vAlign w:val="center"/>
          </w:tcPr>
          <w:p>
            <w:pPr>
              <w:spacing w:line="360" w:lineRule="auto"/>
              <w:jc w:val="left"/>
            </w:pPr>
            <w:r>
              <w:rPr>
                <w:rFonts w:hint="eastAsia"/>
              </w:rPr>
              <w:t>1、评标基准价的计算方法：所有投标人有效投标报价的算数平均值为评标基准价；</w:t>
            </w:r>
          </w:p>
          <w:p>
            <w:pPr>
              <w:spacing w:line="360" w:lineRule="auto"/>
              <w:jc w:val="left"/>
            </w:pPr>
            <w:r>
              <w:rPr>
                <w:rFonts w:hint="eastAsia"/>
              </w:rPr>
              <w:t>2、投标报价的偏差率计算公式：偏差率</w:t>
            </w:r>
            <w:r>
              <w:t>=100%</w:t>
            </w:r>
            <w:r>
              <w:rPr>
                <w:rFonts w:hint="eastAsia"/>
              </w:rPr>
              <w:t>×（投标人报价</w:t>
            </w:r>
            <w:r>
              <w:t>-</w:t>
            </w:r>
            <w:r>
              <w:rPr>
                <w:rFonts w:hint="eastAsia"/>
              </w:rPr>
              <w:t>评标基准价）</w:t>
            </w:r>
            <w:r>
              <w:t>/</w:t>
            </w:r>
            <w:r>
              <w:rPr>
                <w:rFonts w:hint="eastAsia"/>
              </w:rPr>
              <w:t>评标基准价；</w:t>
            </w:r>
          </w:p>
          <w:p>
            <w:pPr>
              <w:spacing w:line="360" w:lineRule="auto"/>
              <w:jc w:val="left"/>
            </w:pPr>
            <w:r>
              <w:rPr>
                <w:rFonts w:hint="eastAsia"/>
              </w:rPr>
              <w:t>3、投标报价的评分标准：投标报价与评标基准价一致时得标准分，每比评标基准价高一个百分点扣</w:t>
            </w:r>
            <w:r>
              <w:t>0.5</w:t>
            </w:r>
            <w:r>
              <w:rPr>
                <w:rFonts w:hint="eastAsia"/>
              </w:rPr>
              <w:t>分，每比评标基准价低一个百分点扣</w:t>
            </w:r>
            <w:r>
              <w:t>0.5</w:t>
            </w:r>
            <w:r>
              <w:rPr>
                <w:rFonts w:hint="eastAsia"/>
              </w:rPr>
              <w:t>分，不足一个百分点按插入法计算。本项得分扣完为止。</w:t>
            </w:r>
          </w:p>
        </w:tc>
      </w:tr>
    </w:tbl>
    <w:p>
      <w:pPr>
        <w:jc w:val="center"/>
        <w:rPr>
          <w:b/>
          <w:bCs/>
          <w:color w:val="000000"/>
        </w:rPr>
      </w:pPr>
      <w:r>
        <w:rPr>
          <w:rFonts w:hint="eastAsia"/>
          <w:b/>
          <w:bCs/>
          <w:color w:val="000000"/>
        </w:rPr>
        <w:t>商务评分标准（满分</w:t>
      </w:r>
      <w:r>
        <w:rPr>
          <w:b/>
          <w:bCs/>
          <w:color w:val="000000"/>
        </w:rPr>
        <w:t>2</w:t>
      </w:r>
      <w:r>
        <w:rPr>
          <w:rFonts w:hint="eastAsia"/>
          <w:b/>
          <w:bCs/>
          <w:color w:val="000000"/>
        </w:rPr>
        <w:t>0分）</w:t>
      </w:r>
    </w:p>
    <w:p>
      <w:pPr>
        <w:rPr>
          <w:color w:val="000000"/>
        </w:rPr>
      </w:pPr>
    </w:p>
    <w:tbl>
      <w:tblPr>
        <w:tblStyle w:val="25"/>
        <w:tblW w:w="8332"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1560"/>
        <w:gridCol w:w="708"/>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blCellSpacing w:w="0" w:type="dxa"/>
        </w:trPr>
        <w:tc>
          <w:tcPr>
            <w:tcW w:w="575" w:type="dxa"/>
            <w:shd w:val="clear" w:color="auto" w:fill="FFFFFF"/>
            <w:vAlign w:val="center"/>
          </w:tcPr>
          <w:p>
            <w:pPr>
              <w:spacing w:line="360" w:lineRule="auto"/>
              <w:rPr>
                <w:color w:val="000000"/>
              </w:rPr>
            </w:pPr>
            <w:r>
              <w:rPr>
                <w:rFonts w:hint="eastAsia"/>
                <w:b/>
                <w:bCs/>
                <w:color w:val="000000"/>
              </w:rPr>
              <w:t>序号</w:t>
            </w:r>
          </w:p>
        </w:tc>
        <w:tc>
          <w:tcPr>
            <w:tcW w:w="1560" w:type="dxa"/>
            <w:shd w:val="clear" w:color="auto" w:fill="FFFFFF"/>
            <w:vAlign w:val="center"/>
          </w:tcPr>
          <w:p>
            <w:pPr>
              <w:spacing w:line="360" w:lineRule="auto"/>
              <w:rPr>
                <w:color w:val="000000"/>
              </w:rPr>
            </w:pPr>
            <w:r>
              <w:rPr>
                <w:rFonts w:hint="eastAsia"/>
                <w:b/>
                <w:bCs/>
                <w:color w:val="000000"/>
              </w:rPr>
              <w:t>评分项目</w:t>
            </w:r>
          </w:p>
        </w:tc>
        <w:tc>
          <w:tcPr>
            <w:tcW w:w="708" w:type="dxa"/>
            <w:shd w:val="clear" w:color="auto" w:fill="FFFFFF"/>
            <w:vAlign w:val="center"/>
          </w:tcPr>
          <w:p>
            <w:pPr>
              <w:spacing w:line="360" w:lineRule="auto"/>
              <w:jc w:val="center"/>
              <w:rPr>
                <w:color w:val="000000"/>
              </w:rPr>
            </w:pPr>
            <w:r>
              <w:rPr>
                <w:rFonts w:hint="eastAsia"/>
                <w:b/>
                <w:bCs/>
                <w:color w:val="000000"/>
              </w:rPr>
              <w:t>分值</w:t>
            </w:r>
          </w:p>
        </w:tc>
        <w:tc>
          <w:tcPr>
            <w:tcW w:w="5489" w:type="dxa"/>
            <w:shd w:val="clear" w:color="auto" w:fill="FFFFFF"/>
            <w:vAlign w:val="center"/>
          </w:tcPr>
          <w:p>
            <w:pPr>
              <w:spacing w:line="360" w:lineRule="auto"/>
              <w:jc w:val="center"/>
              <w:rPr>
                <w:color w:val="000000"/>
              </w:rPr>
            </w:pPr>
            <w:r>
              <w:rPr>
                <w:rFonts w:hint="eastAsia"/>
                <w:b/>
                <w:bCs/>
                <w:color w:val="000000"/>
              </w:rPr>
              <w:t>评</w:t>
            </w:r>
            <w:r>
              <w:rPr>
                <w:b/>
                <w:bCs/>
                <w:color w:val="000000"/>
              </w:rPr>
              <w:t xml:space="preserve"> </w:t>
            </w:r>
            <w:r>
              <w:rPr>
                <w:rFonts w:hint="eastAsia"/>
                <w:b/>
                <w:bCs/>
                <w:color w:val="000000"/>
              </w:rPr>
              <w:t>分</w:t>
            </w:r>
            <w:r>
              <w:rPr>
                <w:b/>
                <w:bCs/>
                <w:color w:val="000000"/>
              </w:rPr>
              <w:t xml:space="preserve"> </w:t>
            </w:r>
            <w:r>
              <w:rPr>
                <w:rFonts w:hint="eastAsia"/>
                <w:b/>
                <w:bCs/>
                <w:color w:val="000000"/>
              </w:rPr>
              <w:t>标</w:t>
            </w:r>
            <w:r>
              <w:rPr>
                <w:b/>
                <w:bCs/>
                <w:color w:val="000000"/>
              </w:rPr>
              <w:t xml:space="preserve"> </w:t>
            </w:r>
            <w:r>
              <w:rPr>
                <w:rFonts w:hint="eastAsia"/>
                <w:b/>
                <w:bCs/>
                <w:color w:val="000000"/>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CellSpacing w:w="0" w:type="dxa"/>
        </w:trPr>
        <w:tc>
          <w:tcPr>
            <w:tcW w:w="575" w:type="dxa"/>
            <w:shd w:val="clear" w:color="auto" w:fill="FFFFFF"/>
            <w:vAlign w:val="center"/>
          </w:tcPr>
          <w:p>
            <w:pPr>
              <w:spacing w:line="360" w:lineRule="auto"/>
              <w:rPr>
                <w:color w:val="000000"/>
              </w:rPr>
            </w:pPr>
            <w:r>
              <w:rPr>
                <w:color w:val="000000"/>
              </w:rPr>
              <w:t>1</w:t>
            </w:r>
          </w:p>
        </w:tc>
        <w:tc>
          <w:tcPr>
            <w:tcW w:w="1560" w:type="dxa"/>
            <w:vAlign w:val="center"/>
          </w:tcPr>
          <w:p>
            <w:pPr>
              <w:spacing w:line="360" w:lineRule="auto"/>
              <w:rPr>
                <w:color w:val="000000"/>
              </w:rPr>
            </w:pPr>
            <w:r>
              <w:rPr>
                <w:rFonts w:hint="eastAsia"/>
                <w:color w:val="000000"/>
              </w:rPr>
              <w:t>综合实力</w:t>
            </w:r>
          </w:p>
        </w:tc>
        <w:tc>
          <w:tcPr>
            <w:tcW w:w="708" w:type="dxa"/>
            <w:vAlign w:val="center"/>
          </w:tcPr>
          <w:p>
            <w:pPr>
              <w:spacing w:line="360" w:lineRule="auto"/>
              <w:jc w:val="center"/>
              <w:rPr>
                <w:color w:val="000000"/>
              </w:rPr>
            </w:pPr>
            <w:r>
              <w:rPr>
                <w:rFonts w:hint="eastAsia"/>
                <w:color w:val="000000"/>
              </w:rPr>
              <w:t>1</w:t>
            </w:r>
            <w:r>
              <w:rPr>
                <w:color w:val="000000"/>
              </w:rPr>
              <w:t>5</w:t>
            </w:r>
          </w:p>
        </w:tc>
        <w:tc>
          <w:tcPr>
            <w:tcW w:w="5489" w:type="dxa"/>
            <w:shd w:val="clear" w:color="auto" w:fill="FFFFFF"/>
            <w:vAlign w:val="center"/>
          </w:tcPr>
          <w:p>
            <w:pPr>
              <w:spacing w:line="360" w:lineRule="auto"/>
              <w:rPr>
                <w:color w:val="000000"/>
              </w:rPr>
            </w:pPr>
            <w:r>
              <w:rPr>
                <w:rFonts w:hint="eastAsia"/>
                <w:color w:val="000000"/>
              </w:rPr>
              <w:t>根据投标人所持反映其综合商务实力的证明材料，如高新技术企业、合同信用等级、小巨人、专精特新、安全生产许可证等资质情况进行综合评审。</w:t>
            </w:r>
          </w:p>
          <w:p>
            <w:pPr>
              <w:spacing w:line="360" w:lineRule="auto"/>
            </w:pPr>
            <w:r>
              <w:rPr>
                <w:rFonts w:hint="eastAsia"/>
              </w:rPr>
              <w:t>高新技术企业得</w:t>
            </w:r>
            <w:r>
              <w:t>2</w:t>
            </w:r>
            <w:r>
              <w:rPr>
                <w:rFonts w:hint="eastAsia"/>
              </w:rPr>
              <w:t>分，合同信用等级为“A</w:t>
            </w:r>
            <w:r>
              <w:t>AA</w:t>
            </w:r>
            <w:r>
              <w:rPr>
                <w:rFonts w:hint="eastAsia"/>
              </w:rPr>
              <w:t>”得</w:t>
            </w:r>
            <w:r>
              <w:t>3</w:t>
            </w:r>
            <w:r>
              <w:rPr>
                <w:rFonts w:hint="eastAsia"/>
              </w:rPr>
              <w:t>分，小巨人企业得</w:t>
            </w:r>
            <w:r>
              <w:t>3</w:t>
            </w:r>
            <w:r>
              <w:rPr>
                <w:rFonts w:hint="eastAsia"/>
              </w:rPr>
              <w:t>分，专精特新企业得</w:t>
            </w:r>
            <w:r>
              <w:t>3</w:t>
            </w:r>
            <w:r>
              <w:rPr>
                <w:rFonts w:hint="eastAsia"/>
              </w:rPr>
              <w:t>分，安全生产许可证得2分，提供其他证明综合商务实力的资质材料等2分。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CellSpacing w:w="0" w:type="dxa"/>
        </w:trPr>
        <w:tc>
          <w:tcPr>
            <w:tcW w:w="575" w:type="dxa"/>
            <w:shd w:val="clear" w:color="auto" w:fill="FFFFFF"/>
            <w:vAlign w:val="center"/>
          </w:tcPr>
          <w:p>
            <w:pPr>
              <w:spacing w:line="360" w:lineRule="auto"/>
              <w:rPr>
                <w:color w:val="000000"/>
              </w:rPr>
            </w:pPr>
            <w:r>
              <w:rPr>
                <w:color w:val="000000"/>
              </w:rPr>
              <w:t>2</w:t>
            </w:r>
          </w:p>
        </w:tc>
        <w:tc>
          <w:tcPr>
            <w:tcW w:w="1560" w:type="dxa"/>
            <w:vAlign w:val="center"/>
          </w:tcPr>
          <w:p>
            <w:pPr>
              <w:spacing w:line="360" w:lineRule="auto"/>
              <w:rPr>
                <w:color w:val="000000"/>
              </w:rPr>
            </w:pPr>
            <w:r>
              <w:rPr>
                <w:rFonts w:hint="eastAsia"/>
                <w:color w:val="000000"/>
              </w:rPr>
              <w:t>投标文件的编制及响应程度</w:t>
            </w:r>
          </w:p>
        </w:tc>
        <w:tc>
          <w:tcPr>
            <w:tcW w:w="708" w:type="dxa"/>
            <w:vAlign w:val="center"/>
          </w:tcPr>
          <w:p>
            <w:pPr>
              <w:spacing w:line="360" w:lineRule="auto"/>
              <w:jc w:val="center"/>
              <w:rPr>
                <w:color w:val="000000"/>
              </w:rPr>
            </w:pPr>
            <w:r>
              <w:rPr>
                <w:color w:val="000000"/>
              </w:rPr>
              <w:t>5</w:t>
            </w:r>
          </w:p>
        </w:tc>
        <w:tc>
          <w:tcPr>
            <w:tcW w:w="5489" w:type="dxa"/>
            <w:shd w:val="clear" w:color="auto" w:fill="FFFFFF"/>
            <w:vAlign w:val="center"/>
          </w:tcPr>
          <w:p>
            <w:pPr>
              <w:spacing w:line="360" w:lineRule="auto"/>
              <w:rPr>
                <w:color w:val="000000"/>
              </w:rPr>
            </w:pPr>
            <w:r>
              <w:rPr>
                <w:rFonts w:hint="eastAsia"/>
                <w:color w:val="000000"/>
              </w:rPr>
              <w:t>商务投标文件严格按照招标格式要求编写，清晰完整得</w:t>
            </w:r>
            <w:r>
              <w:rPr>
                <w:color w:val="000000"/>
              </w:rPr>
              <w:t>5</w:t>
            </w:r>
            <w:r>
              <w:rPr>
                <w:rFonts w:hint="eastAsia"/>
                <w:color w:val="000000"/>
              </w:rPr>
              <w:t>分；一般清晰完整得</w:t>
            </w:r>
            <w:r>
              <w:rPr>
                <w:color w:val="000000"/>
              </w:rPr>
              <w:t>2</w:t>
            </w:r>
            <w:r>
              <w:rPr>
                <w:rFonts w:hint="eastAsia"/>
                <w:color w:val="000000"/>
              </w:rPr>
              <w:t>分，差的不得分。</w:t>
            </w:r>
          </w:p>
        </w:tc>
      </w:tr>
    </w:tbl>
    <w:p>
      <w:pPr>
        <w:jc w:val="center"/>
        <w:rPr>
          <w:b/>
          <w:bCs/>
          <w:color w:val="000000"/>
        </w:rPr>
      </w:pPr>
    </w:p>
    <w:p>
      <w:pPr>
        <w:jc w:val="center"/>
        <w:rPr>
          <w:color w:val="000000"/>
        </w:rPr>
      </w:pPr>
      <w:r>
        <w:rPr>
          <w:rFonts w:hint="eastAsia"/>
          <w:b/>
          <w:bCs/>
          <w:color w:val="000000"/>
        </w:rPr>
        <w:t>技术部分（投标货物及投标方案）评分标准（满分</w:t>
      </w:r>
      <w:r>
        <w:rPr>
          <w:b/>
          <w:bCs/>
          <w:color w:val="000000"/>
        </w:rPr>
        <w:t>5</w:t>
      </w:r>
      <w:r>
        <w:rPr>
          <w:rFonts w:hint="eastAsia"/>
          <w:b/>
          <w:bCs/>
          <w:color w:val="000000"/>
        </w:rPr>
        <w:t>0分）</w:t>
      </w:r>
    </w:p>
    <w:p>
      <w:pPr>
        <w:rPr>
          <w:color w:val="000000"/>
        </w:rPr>
      </w:pPr>
    </w:p>
    <w:tbl>
      <w:tblPr>
        <w:tblStyle w:val="25"/>
        <w:tblW w:w="8513"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1560"/>
        <w:gridCol w:w="691"/>
        <w:gridCol w:w="5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blCellSpacing w:w="0" w:type="dxa"/>
        </w:trPr>
        <w:tc>
          <w:tcPr>
            <w:tcW w:w="575" w:type="dxa"/>
            <w:vAlign w:val="center"/>
          </w:tcPr>
          <w:p>
            <w:pPr>
              <w:spacing w:line="360" w:lineRule="auto"/>
              <w:jc w:val="center"/>
            </w:pPr>
            <w:r>
              <w:rPr>
                <w:rFonts w:hint="eastAsia"/>
                <w:b/>
                <w:bCs/>
              </w:rPr>
              <w:t>序号</w:t>
            </w:r>
          </w:p>
        </w:tc>
        <w:tc>
          <w:tcPr>
            <w:tcW w:w="1560" w:type="dxa"/>
            <w:vAlign w:val="center"/>
          </w:tcPr>
          <w:p>
            <w:pPr>
              <w:spacing w:line="360" w:lineRule="auto"/>
              <w:jc w:val="center"/>
            </w:pPr>
            <w:r>
              <w:rPr>
                <w:rFonts w:hint="eastAsia"/>
                <w:b/>
                <w:bCs/>
              </w:rPr>
              <w:t>评分项目</w:t>
            </w:r>
          </w:p>
        </w:tc>
        <w:tc>
          <w:tcPr>
            <w:tcW w:w="691" w:type="dxa"/>
            <w:vAlign w:val="center"/>
          </w:tcPr>
          <w:p>
            <w:pPr>
              <w:spacing w:line="360" w:lineRule="auto"/>
              <w:jc w:val="center"/>
            </w:pPr>
            <w:r>
              <w:rPr>
                <w:rFonts w:hint="eastAsia"/>
                <w:b/>
                <w:bCs/>
              </w:rPr>
              <w:t>分值</w:t>
            </w:r>
          </w:p>
        </w:tc>
        <w:tc>
          <w:tcPr>
            <w:tcW w:w="5687" w:type="dxa"/>
            <w:vAlign w:val="center"/>
          </w:tcPr>
          <w:p>
            <w:pPr>
              <w:spacing w:line="360" w:lineRule="auto"/>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blCellSpacing w:w="0" w:type="dxa"/>
        </w:trPr>
        <w:tc>
          <w:tcPr>
            <w:tcW w:w="575" w:type="dxa"/>
            <w:vAlign w:val="center"/>
          </w:tcPr>
          <w:p>
            <w:pPr>
              <w:spacing w:line="360" w:lineRule="auto"/>
              <w:jc w:val="center"/>
            </w:pPr>
            <w:r>
              <w:t>1</w:t>
            </w:r>
          </w:p>
        </w:tc>
        <w:tc>
          <w:tcPr>
            <w:tcW w:w="1560" w:type="dxa"/>
            <w:vAlign w:val="center"/>
          </w:tcPr>
          <w:p>
            <w:pPr>
              <w:spacing w:line="360" w:lineRule="auto"/>
            </w:pPr>
            <w:r>
              <w:rPr>
                <w:rFonts w:hint="eastAsia"/>
              </w:rPr>
              <w:t>投标文件的完整性及合理性</w:t>
            </w:r>
          </w:p>
        </w:tc>
        <w:tc>
          <w:tcPr>
            <w:tcW w:w="691" w:type="dxa"/>
            <w:vAlign w:val="center"/>
          </w:tcPr>
          <w:p>
            <w:pPr>
              <w:spacing w:line="360" w:lineRule="auto"/>
              <w:jc w:val="center"/>
            </w:pPr>
            <w:r>
              <w:rPr>
                <w:rFonts w:hint="eastAsia"/>
              </w:rPr>
              <w:t>1</w:t>
            </w:r>
            <w:r>
              <w:t>0</w:t>
            </w:r>
          </w:p>
        </w:tc>
        <w:tc>
          <w:tcPr>
            <w:tcW w:w="5687" w:type="dxa"/>
            <w:vAlign w:val="center"/>
          </w:tcPr>
          <w:p>
            <w:pPr>
              <w:widowControl/>
              <w:spacing w:line="320" w:lineRule="atLeast"/>
            </w:pPr>
            <w:r>
              <w:rPr>
                <w:rFonts w:hint="eastAsia"/>
              </w:rPr>
              <w:t>1、投标人根据招标要求提供的高压开关柜及变频电源技术参数，得0-</w:t>
            </w:r>
            <w:r>
              <w:t>5</w:t>
            </w:r>
            <w:r>
              <w:rPr>
                <w:rFonts w:hint="eastAsia"/>
              </w:rPr>
              <w:t>分。其中，所有参数都满足要求，得</w:t>
            </w:r>
            <w:r>
              <w:t>5</w:t>
            </w:r>
            <w:r>
              <w:rPr>
                <w:rFonts w:hint="eastAsia"/>
              </w:rPr>
              <w:t>分；重要技术参数有一条不满足的，得0分；一般性技术参数达不到招标文件要求的，每负偏离一条扣1分，扣完为止。</w:t>
            </w:r>
          </w:p>
          <w:p>
            <w:pPr>
              <w:widowControl/>
              <w:spacing w:line="320" w:lineRule="atLeast"/>
            </w:pPr>
            <w:r>
              <w:rPr>
                <w:rFonts w:hint="eastAsia"/>
              </w:rPr>
              <w:t>2、根据投标人技术方案的完整性和合理性进行对比评价，得0-</w:t>
            </w:r>
            <w: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blCellSpacing w:w="0" w:type="dxa"/>
        </w:trPr>
        <w:tc>
          <w:tcPr>
            <w:tcW w:w="575" w:type="dxa"/>
            <w:vAlign w:val="center"/>
          </w:tcPr>
          <w:p>
            <w:pPr>
              <w:spacing w:line="360" w:lineRule="auto"/>
              <w:jc w:val="center"/>
            </w:pPr>
            <w:r>
              <w:rPr>
                <w:rFonts w:hint="eastAsia"/>
              </w:rPr>
              <w:t>2</w:t>
            </w:r>
          </w:p>
        </w:tc>
        <w:tc>
          <w:tcPr>
            <w:tcW w:w="1560" w:type="dxa"/>
            <w:vAlign w:val="center"/>
          </w:tcPr>
          <w:p>
            <w:pPr>
              <w:spacing w:line="360" w:lineRule="auto"/>
              <w:jc w:val="center"/>
            </w:pPr>
            <w:r>
              <w:rPr>
                <w:rFonts w:hint="eastAsia"/>
              </w:rPr>
              <w:t>技术证明材料</w:t>
            </w:r>
          </w:p>
        </w:tc>
        <w:tc>
          <w:tcPr>
            <w:tcW w:w="691" w:type="dxa"/>
            <w:vAlign w:val="center"/>
          </w:tcPr>
          <w:p>
            <w:pPr>
              <w:spacing w:line="360" w:lineRule="auto"/>
              <w:jc w:val="center"/>
            </w:pPr>
            <w:r>
              <w:t>15</w:t>
            </w:r>
          </w:p>
        </w:tc>
        <w:tc>
          <w:tcPr>
            <w:tcW w:w="5687" w:type="dxa"/>
            <w:vAlign w:val="center"/>
          </w:tcPr>
          <w:p>
            <w:pPr>
              <w:widowControl/>
              <w:spacing w:line="320" w:lineRule="atLeast"/>
            </w:pPr>
            <w:r>
              <w:rPr>
                <w:rFonts w:hint="eastAsia"/>
              </w:rPr>
              <w:t>投标人具有港口船舶岸电相关技术专利（含发明、实用新型和外观），每1项专利加1分，最多得1</w:t>
            </w:r>
            <w: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blCellSpacing w:w="0" w:type="dxa"/>
        </w:trPr>
        <w:tc>
          <w:tcPr>
            <w:tcW w:w="575" w:type="dxa"/>
            <w:vAlign w:val="center"/>
          </w:tcPr>
          <w:p>
            <w:pPr>
              <w:spacing w:line="360" w:lineRule="auto"/>
              <w:jc w:val="center"/>
            </w:pPr>
            <w:r>
              <w:rPr>
                <w:color w:val="000000"/>
              </w:rPr>
              <w:t>3</w:t>
            </w:r>
          </w:p>
        </w:tc>
        <w:tc>
          <w:tcPr>
            <w:tcW w:w="1560" w:type="dxa"/>
            <w:vAlign w:val="center"/>
          </w:tcPr>
          <w:p>
            <w:pPr>
              <w:spacing w:line="360" w:lineRule="auto"/>
              <w:jc w:val="center"/>
            </w:pPr>
            <w:r>
              <w:rPr>
                <w:rFonts w:hint="eastAsia"/>
                <w:color w:val="000000"/>
              </w:rPr>
              <w:t>业绩</w:t>
            </w:r>
            <w:r>
              <w:rPr>
                <w:color w:val="000000"/>
              </w:rPr>
              <w:t xml:space="preserve"> </w:t>
            </w:r>
          </w:p>
        </w:tc>
        <w:tc>
          <w:tcPr>
            <w:tcW w:w="691" w:type="dxa"/>
            <w:vAlign w:val="center"/>
          </w:tcPr>
          <w:p>
            <w:pPr>
              <w:spacing w:line="360" w:lineRule="auto"/>
              <w:jc w:val="center"/>
            </w:pPr>
            <w:r>
              <w:rPr>
                <w:color w:val="000000"/>
              </w:rPr>
              <w:t>20</w:t>
            </w:r>
          </w:p>
        </w:tc>
        <w:tc>
          <w:tcPr>
            <w:tcW w:w="5687" w:type="dxa"/>
            <w:vAlign w:val="center"/>
          </w:tcPr>
          <w:p>
            <w:pPr>
              <w:spacing w:line="360" w:lineRule="auto"/>
            </w:pPr>
            <w:r>
              <w:rPr>
                <w:rFonts w:hint="eastAsia"/>
                <w:color w:val="000000"/>
              </w:rPr>
              <w:t>投</w:t>
            </w:r>
            <w:r>
              <w:rPr>
                <w:rFonts w:hint="eastAsia"/>
              </w:rPr>
              <w:t>标人2</w:t>
            </w:r>
            <w:r>
              <w:t>017</w:t>
            </w:r>
            <w:r>
              <w:rPr>
                <w:rFonts w:hint="eastAsia"/>
              </w:rPr>
              <w:t>年1月1日以来成功投运的，8</w:t>
            </w:r>
            <w:r>
              <w:t>00</w:t>
            </w:r>
            <w:r>
              <w:rPr>
                <w:rFonts w:hint="eastAsia"/>
              </w:rPr>
              <w:t>k</w:t>
            </w:r>
            <w:r>
              <w:t>VA</w:t>
            </w:r>
            <w:r>
              <w:rPr>
                <w:rFonts w:hint="eastAsia"/>
              </w:rPr>
              <w:t>以上港口船舶岸电业绩并能提供相关证明文件的，每提供一套（同一个合同内可多套）得</w:t>
            </w:r>
            <w:r>
              <w:t>1</w:t>
            </w:r>
            <w:r>
              <w:rPr>
                <w:rFonts w:hint="eastAsia"/>
              </w:rPr>
              <w:t>分，最高得分</w:t>
            </w:r>
            <w:r>
              <w:t>20</w:t>
            </w:r>
            <w:r>
              <w:rPr>
                <w:rFonts w:hint="eastAsia"/>
              </w:rPr>
              <w:t>分；</w:t>
            </w:r>
          </w:p>
          <w:p>
            <w:pPr>
              <w:widowControl/>
              <w:spacing w:line="320" w:lineRule="atLeast"/>
            </w:pPr>
            <w:r>
              <w:rPr>
                <w:rFonts w:hint="eastAsia"/>
                <w:color w:val="000000"/>
              </w:rPr>
              <w:t>（注：须提供合同关键页，如合同首页、合同金额页、签字盖章页等，复印件加盖投标人公章。）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trPr>
        <w:tc>
          <w:tcPr>
            <w:tcW w:w="575" w:type="dxa"/>
            <w:vAlign w:val="center"/>
          </w:tcPr>
          <w:p>
            <w:pPr>
              <w:spacing w:line="360" w:lineRule="auto"/>
              <w:jc w:val="center"/>
            </w:pPr>
            <w:r>
              <w:t>4</w:t>
            </w:r>
          </w:p>
        </w:tc>
        <w:tc>
          <w:tcPr>
            <w:tcW w:w="1560" w:type="dxa"/>
            <w:vAlign w:val="center"/>
          </w:tcPr>
          <w:p>
            <w:pPr>
              <w:spacing w:line="360" w:lineRule="auto"/>
              <w:jc w:val="center"/>
            </w:pPr>
            <w:r>
              <w:rPr>
                <w:rFonts w:hint="eastAsia"/>
              </w:rPr>
              <w:t>售后服务</w:t>
            </w:r>
          </w:p>
        </w:tc>
        <w:tc>
          <w:tcPr>
            <w:tcW w:w="691" w:type="dxa"/>
            <w:vAlign w:val="center"/>
          </w:tcPr>
          <w:p>
            <w:pPr>
              <w:spacing w:line="360" w:lineRule="auto"/>
              <w:jc w:val="center"/>
            </w:pPr>
            <w:r>
              <w:t>5</w:t>
            </w:r>
          </w:p>
        </w:tc>
        <w:tc>
          <w:tcPr>
            <w:tcW w:w="5687" w:type="dxa"/>
            <w:vAlign w:val="center"/>
          </w:tcPr>
          <w:p>
            <w:pPr>
              <w:pStyle w:val="42"/>
              <w:widowControl/>
              <w:numPr>
                <w:ilvl w:val="0"/>
                <w:numId w:val="2"/>
              </w:numPr>
              <w:spacing w:line="320" w:lineRule="atLeast"/>
              <w:ind w:firstLineChars="0"/>
            </w:pPr>
            <w:r>
              <w:rPr>
                <w:rFonts w:hint="eastAsia"/>
              </w:rPr>
              <w:t>根据投标人提供的售后服务方案和措施，售后服务安排的合理性、售后网点的分布情况、维修的反应速度及服务措施，得</w:t>
            </w:r>
            <w:r>
              <w:t>0-3</w:t>
            </w:r>
            <w:r>
              <w:rPr>
                <w:rFonts w:hint="eastAsia"/>
              </w:rPr>
              <w:t>分。</w:t>
            </w:r>
          </w:p>
          <w:p>
            <w:pPr>
              <w:pStyle w:val="42"/>
              <w:widowControl/>
              <w:numPr>
                <w:ilvl w:val="0"/>
                <w:numId w:val="2"/>
              </w:numPr>
              <w:spacing w:line="320" w:lineRule="atLeast"/>
              <w:ind w:firstLineChars="0"/>
            </w:pPr>
            <w:r>
              <w:rPr>
                <w:rFonts w:hint="eastAsia"/>
              </w:rPr>
              <w:t>对投标人提供的质保期后的维保方案的完整性、合理性进行评价，得</w:t>
            </w:r>
            <w:r>
              <w:t>0-2</w:t>
            </w:r>
            <w:r>
              <w:rPr>
                <w:rFonts w:hint="eastAsia"/>
              </w:rPr>
              <w:t>分。</w:t>
            </w:r>
          </w:p>
        </w:tc>
      </w:tr>
    </w:tbl>
    <w:p>
      <w:pPr>
        <w:spacing w:line="360" w:lineRule="auto"/>
        <w:ind w:firstLine="420" w:firstLineChars="200"/>
      </w:pPr>
    </w:p>
    <w:p>
      <w:pPr>
        <w:pStyle w:val="4"/>
        <w:numPr>
          <w:ilvl w:val="0"/>
          <w:numId w:val="1"/>
        </w:numPr>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授予合同</w:t>
      </w:r>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w:t>
      </w:r>
      <w:r>
        <w:rPr>
          <w:rFonts w:cs="宋体" w:asciiTheme="minorEastAsia" w:hAnsiTheme="minorEastAsia" w:eastAsiaTheme="minorEastAsia"/>
          <w:b w:val="0"/>
          <w:sz w:val="24"/>
          <w:szCs w:val="24"/>
        </w:rPr>
        <w:t>.1中标通知书</w:t>
      </w:r>
    </w:p>
    <w:p>
      <w:pPr>
        <w:pStyle w:val="6"/>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w:t>
      </w:r>
      <w:r>
        <w:rPr>
          <w:rFonts w:cs="宋体" w:asciiTheme="minorEastAsia" w:hAnsiTheme="minorEastAsia" w:eastAsiaTheme="minorEastAsia"/>
          <w:b w:val="0"/>
          <w:sz w:val="24"/>
          <w:szCs w:val="24"/>
        </w:rPr>
        <w:t xml:space="preserve">.1.1 在规定的投标有效期截止前，招标人按照有关规定向中标人发出中标通知书。 </w:t>
      </w:r>
    </w:p>
    <w:p>
      <w:pPr>
        <w:pStyle w:val="6"/>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w:t>
      </w:r>
      <w:r>
        <w:rPr>
          <w:rFonts w:cs="宋体" w:asciiTheme="minorEastAsia" w:hAnsiTheme="minorEastAsia" w:eastAsiaTheme="minorEastAsia"/>
          <w:b w:val="0"/>
          <w:sz w:val="24"/>
          <w:szCs w:val="24"/>
        </w:rPr>
        <w:t>.1.2招标人将在发出中标通知书的同时,将采用电话通知或电子邮件或网络公告的方式将中标结果通知所有未中标的投标人。</w:t>
      </w:r>
    </w:p>
    <w:p>
      <w:pPr>
        <w:pStyle w:val="5"/>
        <w:ind w:firstLine="420"/>
        <w:rPr>
          <w:rFonts w:cs="宋体" w:asciiTheme="minorEastAsia" w:hAnsiTheme="minorEastAsia" w:eastAsiaTheme="minorEastAsia"/>
          <w:b w:val="0"/>
          <w:sz w:val="24"/>
          <w:szCs w:val="24"/>
          <w:highlight w:val="yellow"/>
        </w:rPr>
      </w:pPr>
      <w:r>
        <w:rPr>
          <w:rFonts w:hint="eastAsia" w:cs="宋体" w:asciiTheme="minorEastAsia" w:hAnsiTheme="minorEastAsia" w:eastAsiaTheme="minorEastAsia"/>
          <w:b w:val="0"/>
          <w:sz w:val="24"/>
          <w:szCs w:val="24"/>
          <w:highlight w:val="yellow"/>
        </w:rPr>
        <w:t>9</w:t>
      </w:r>
      <w:r>
        <w:rPr>
          <w:rFonts w:cs="宋体" w:asciiTheme="minorEastAsia" w:hAnsiTheme="minorEastAsia" w:eastAsiaTheme="minorEastAsia"/>
          <w:b w:val="0"/>
          <w:sz w:val="24"/>
          <w:szCs w:val="24"/>
          <w:highlight w:val="yellow"/>
        </w:rPr>
        <w:t>.</w:t>
      </w:r>
      <w:r>
        <w:rPr>
          <w:rFonts w:hint="eastAsia" w:cs="宋体" w:asciiTheme="minorEastAsia" w:hAnsiTheme="minorEastAsia" w:eastAsiaTheme="minorEastAsia"/>
          <w:b w:val="0"/>
          <w:sz w:val="24"/>
          <w:szCs w:val="24"/>
          <w:highlight w:val="yellow"/>
        </w:rPr>
        <w:t>2履约保证金</w:t>
      </w:r>
    </w:p>
    <w:p>
      <w:pPr>
        <w:pStyle w:val="6"/>
        <w:ind w:firstLine="420"/>
        <w:rPr>
          <w:rFonts w:cs="宋体" w:asciiTheme="minorEastAsia" w:hAnsiTheme="minorEastAsia" w:eastAsiaTheme="minorEastAsia"/>
          <w:b w:val="0"/>
          <w:sz w:val="24"/>
          <w:szCs w:val="24"/>
          <w:highlight w:val="yellow"/>
        </w:rPr>
      </w:pPr>
      <w:r>
        <w:rPr>
          <w:rFonts w:hint="eastAsia" w:cs="宋体" w:asciiTheme="minorEastAsia" w:hAnsiTheme="minorEastAsia" w:eastAsiaTheme="minorEastAsia"/>
          <w:b w:val="0"/>
          <w:sz w:val="24"/>
          <w:szCs w:val="24"/>
          <w:highlight w:val="yellow"/>
        </w:rPr>
        <w:t>9</w:t>
      </w:r>
      <w:r>
        <w:rPr>
          <w:rFonts w:cs="宋体" w:asciiTheme="minorEastAsia" w:hAnsiTheme="minorEastAsia" w:eastAsiaTheme="minorEastAsia"/>
          <w:b w:val="0"/>
          <w:sz w:val="24"/>
          <w:szCs w:val="24"/>
          <w:highlight w:val="yellow"/>
        </w:rPr>
        <w:t>.</w:t>
      </w:r>
      <w:r>
        <w:rPr>
          <w:rFonts w:hint="eastAsia" w:cs="宋体" w:asciiTheme="minorEastAsia" w:hAnsiTheme="minorEastAsia" w:eastAsiaTheme="minorEastAsia"/>
          <w:b w:val="0"/>
          <w:sz w:val="24"/>
          <w:szCs w:val="24"/>
          <w:highlight w:val="yellow"/>
        </w:rPr>
        <w:t>2</w:t>
      </w:r>
      <w:r>
        <w:rPr>
          <w:rFonts w:cs="宋体" w:asciiTheme="minorEastAsia" w:hAnsiTheme="minorEastAsia" w:eastAsiaTheme="minorEastAsia"/>
          <w:b w:val="0"/>
          <w:sz w:val="24"/>
          <w:szCs w:val="24"/>
          <w:highlight w:val="yellow"/>
        </w:rPr>
        <w:t>.1招</w:t>
      </w:r>
      <w:r>
        <w:rPr>
          <w:rFonts w:hint="eastAsia" w:cs="宋体" w:asciiTheme="minorEastAsia" w:hAnsiTheme="minorEastAsia" w:eastAsiaTheme="minorEastAsia"/>
          <w:b w:val="0"/>
          <w:sz w:val="24"/>
          <w:szCs w:val="24"/>
          <w:highlight w:val="yellow"/>
        </w:rPr>
        <w:t>在签订合同前，中标人应按投标人须知前附表规定的形式、金额和招标文件第二章“合同条款及格式”规定的或者事先经过招标人书面认可的履约保证金格式向招标人提交履约保证金。履约保证金为中标合同金额的10%</w:t>
      </w:r>
      <w:r>
        <w:rPr>
          <w:rFonts w:cs="宋体" w:asciiTheme="minorEastAsia" w:hAnsiTheme="minorEastAsia" w:eastAsiaTheme="minorEastAsia"/>
          <w:b w:val="0"/>
          <w:sz w:val="24"/>
          <w:szCs w:val="24"/>
          <w:highlight w:val="yellow"/>
        </w:rPr>
        <w:t>。</w:t>
      </w:r>
    </w:p>
    <w:p>
      <w:pPr>
        <w:pStyle w:val="6"/>
        <w:ind w:firstLine="420"/>
        <w:rPr>
          <w:rFonts w:cs="宋体" w:asciiTheme="minorEastAsia" w:hAnsiTheme="minorEastAsia" w:eastAsiaTheme="minorEastAsia"/>
          <w:b w:val="0"/>
          <w:sz w:val="24"/>
          <w:szCs w:val="24"/>
          <w:highlight w:val="yellow"/>
        </w:rPr>
      </w:pPr>
      <w:r>
        <w:rPr>
          <w:rFonts w:hint="eastAsia" w:cs="宋体" w:asciiTheme="minorEastAsia" w:hAnsiTheme="minorEastAsia" w:eastAsiaTheme="minorEastAsia"/>
          <w:b w:val="0"/>
          <w:sz w:val="24"/>
          <w:szCs w:val="24"/>
          <w:highlight w:val="yellow"/>
        </w:rPr>
        <w:t>9.2.2 中标人不能按本章第9.2.1项要求提交履约保证金的，视为放弃中标，其投标保证金不予退还，给招标人造成的损失超过投标保证金数额的，中标人还应当对超过投标部分予以赔偿。</w:t>
      </w:r>
    </w:p>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w:t>
      </w:r>
      <w:r>
        <w:rPr>
          <w:rFonts w:cs="宋体" w:asciiTheme="minorEastAsia" w:hAnsiTheme="minorEastAsia" w:eastAsiaTheme="minorEastAsia"/>
          <w:b w:val="0"/>
          <w:sz w:val="24"/>
          <w:szCs w:val="24"/>
        </w:rPr>
        <w:t>.</w:t>
      </w:r>
      <w:r>
        <w:rPr>
          <w:rFonts w:hint="eastAsia" w:cs="宋体" w:asciiTheme="minorEastAsia" w:hAnsiTheme="minorEastAsia" w:eastAsiaTheme="minorEastAsia"/>
          <w:b w:val="0"/>
          <w:sz w:val="24"/>
          <w:szCs w:val="24"/>
        </w:rPr>
        <w:t>3签订合同</w:t>
      </w:r>
    </w:p>
    <w:p>
      <w:pPr>
        <w:pStyle w:val="6"/>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9.3.1 招标人和中标人应当在中标通知书发出之日起30日内，根据招标文件和中标人的投标文件订立书面合同。中标人无正当理由拒签合同，在签订合同时向招标人提出附加条件，或者</w:t>
      </w:r>
      <w:r>
        <w:rPr>
          <w:rFonts w:hint="eastAsia" w:cs="宋体" w:asciiTheme="minorEastAsia" w:hAnsiTheme="minorEastAsia" w:eastAsiaTheme="minorEastAsia"/>
          <w:b w:val="0"/>
          <w:sz w:val="24"/>
          <w:szCs w:val="24"/>
          <w:highlight w:val="yellow"/>
        </w:rPr>
        <w:t>不按照招标文件要求补齐履约保证金</w:t>
      </w:r>
      <w:r>
        <w:rPr>
          <w:rFonts w:hint="eastAsia" w:cs="宋体" w:asciiTheme="minorEastAsia" w:hAnsiTheme="minorEastAsia" w:eastAsiaTheme="minorEastAsia"/>
          <w:b w:val="0"/>
          <w:sz w:val="24"/>
          <w:szCs w:val="24"/>
        </w:rPr>
        <w:t>的，招标人取消其中标资格，</w:t>
      </w:r>
      <w:r>
        <w:rPr>
          <w:rFonts w:hint="eastAsia" w:cs="宋体" w:asciiTheme="minorEastAsia" w:hAnsiTheme="minorEastAsia" w:eastAsiaTheme="minorEastAsia"/>
          <w:b w:val="0"/>
          <w:sz w:val="24"/>
          <w:szCs w:val="24"/>
          <w:highlight w:val="yellow"/>
        </w:rPr>
        <w:t>其投标保证金不予退还</w:t>
      </w:r>
      <w:r>
        <w:rPr>
          <w:rFonts w:hint="eastAsia" w:cs="宋体" w:asciiTheme="minorEastAsia" w:hAnsiTheme="minorEastAsia" w:eastAsiaTheme="minorEastAsia"/>
          <w:b w:val="0"/>
          <w:sz w:val="24"/>
          <w:szCs w:val="24"/>
        </w:rPr>
        <w:t>；给招标人造成的损失超过投标保证金数额的，中标人还应当对超过部分予以赔偿。</w:t>
      </w:r>
    </w:p>
    <w:p>
      <w:pPr>
        <w:pStyle w:val="6"/>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9.3.2 发出中标通知书后，招标人无正当理由拒签合同，或者在签订合同时向中标人提出附加条件的，招标人向中标人退还投标保证金；给中标人造成损失的，还应当赔偿损失</w:t>
      </w:r>
      <w:r>
        <w:rPr>
          <w:rFonts w:cs="宋体" w:asciiTheme="minorEastAsia" w:hAnsiTheme="minorEastAsia" w:eastAsiaTheme="minorEastAsia"/>
          <w:b w:val="0"/>
          <w:sz w:val="24"/>
          <w:szCs w:val="24"/>
        </w:rPr>
        <w:t xml:space="preserve">。 </w:t>
      </w:r>
    </w:p>
    <w:p/>
    <w:p>
      <w:pPr>
        <w:pStyle w:val="4"/>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10</w:t>
      </w:r>
      <w:r>
        <w:rPr>
          <w:rFonts w:cs="宋体" w:asciiTheme="minorEastAsia" w:hAnsiTheme="minorEastAsia" w:eastAsiaTheme="minorEastAsia"/>
          <w:bCs w:val="0"/>
          <w:sz w:val="24"/>
          <w:szCs w:val="24"/>
        </w:rPr>
        <w:t xml:space="preserve">. </w:t>
      </w:r>
      <w:bookmarkStart w:id="81" w:name="_Toc422839260"/>
      <w:r>
        <w:rPr>
          <w:rFonts w:hint="eastAsia" w:cs="宋体" w:asciiTheme="minorEastAsia" w:hAnsiTheme="minorEastAsia" w:eastAsiaTheme="minorEastAsia"/>
          <w:bCs w:val="0"/>
          <w:sz w:val="24"/>
          <w:szCs w:val="24"/>
        </w:rPr>
        <w:t>其他事项</w:t>
      </w:r>
      <w:bookmarkEnd w:id="81"/>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 xml:space="preserve">.1 </w:t>
      </w:r>
      <w:r>
        <w:rPr>
          <w:rFonts w:hint="eastAsia" w:cs="宋体" w:asciiTheme="minorEastAsia" w:hAnsiTheme="minorEastAsia" w:eastAsiaTheme="minorEastAsia"/>
          <w:b w:val="0"/>
          <w:sz w:val="24"/>
          <w:szCs w:val="24"/>
        </w:rPr>
        <w:t>招标文件及中标人的投标文件是采购人与中标人签订合同的依据，中标人应严格依据投标文件所做承诺履行职责，如有违约，招标人有权根据合同采取相应措施以保证采购的顺利进行，并追究相应违约方的违约责任。</w:t>
      </w:r>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 xml:space="preserve">.2 </w:t>
      </w:r>
      <w:r>
        <w:rPr>
          <w:rFonts w:hint="eastAsia" w:cs="宋体" w:asciiTheme="minorEastAsia" w:hAnsiTheme="minorEastAsia" w:eastAsiaTheme="minorEastAsia"/>
          <w:b w:val="0"/>
          <w:sz w:val="24"/>
          <w:szCs w:val="24"/>
        </w:rPr>
        <w:t>投标人所投的标书若有其它方面的特殊功能、附加功能、增值服务及优惠条件，必须在投标文件中显著注明。</w:t>
      </w:r>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.3投标人应确保所提交的投标文件内容所涉知识产权完整清晰，不得影响招标人使用，否则应赔偿招标人全部损失。</w:t>
      </w:r>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.4投标人同意，所提交的投标文件所涉知识产权招标人有权无偿使用，且使用方式、使用内容等事项无须事先征得投标人同意，具体详见附件二。</w:t>
      </w:r>
    </w:p>
    <w:p>
      <w:pPr>
        <w:pStyle w:val="5"/>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.5参与本次投标所产生的所有费用由投标人自行承担。</w:t>
      </w:r>
    </w:p>
    <w:p>
      <w:pPr>
        <w:pStyle w:val="5"/>
        <w:ind w:firstLine="420"/>
        <w:rPr>
          <w:rFonts w:cs="宋体" w:asciiTheme="minorEastAsia" w:hAnsiTheme="minorEastAsia" w:eastAsiaTheme="minorEastAsia"/>
          <w:sz w:val="24"/>
          <w:szCs w:val="24"/>
        </w:rPr>
      </w:pPr>
      <w:r>
        <w:rPr>
          <w:rFonts w:hint="eastAsia" w:cs="宋体" w:asciiTheme="minorEastAsia" w:hAnsiTheme="minorEastAsia" w:eastAsiaTheme="minorEastAsia"/>
          <w:b w:val="0"/>
          <w:sz w:val="24"/>
          <w:szCs w:val="24"/>
        </w:rPr>
        <w:t>10</w:t>
      </w:r>
      <w:r>
        <w:rPr>
          <w:rFonts w:cs="宋体" w:asciiTheme="minorEastAsia" w:hAnsiTheme="minorEastAsia" w:eastAsiaTheme="minorEastAsia"/>
          <w:b w:val="0"/>
          <w:sz w:val="24"/>
          <w:szCs w:val="24"/>
        </w:rPr>
        <w:t>.6有关本招标项目的其它未尽事项，详见后续相关通知</w:t>
      </w:r>
      <w:r>
        <w:rPr>
          <w:rFonts w:hint="eastAsia" w:cs="宋体" w:asciiTheme="minorEastAsia" w:hAnsiTheme="minorEastAsia" w:eastAsiaTheme="minorEastAsia"/>
          <w:sz w:val="24"/>
          <w:szCs w:val="24"/>
        </w:rPr>
        <w:t>。</w:t>
      </w:r>
    </w:p>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asciiTheme="minorEastAsia" w:hAnsiTheme="minorEastAsia" w:eastAsiaTheme="minorEastAsia"/>
          <w:sz w:val="24"/>
          <w:szCs w:val="24"/>
        </w:rPr>
        <w:br w:type="page"/>
      </w:r>
    </w:p>
    <w:p>
      <w:pPr>
        <w:pStyle w:val="3"/>
        <w:jc w:val="center"/>
        <w:rPr>
          <w:rFonts w:cs="宋体" w:asciiTheme="minorEastAsia" w:hAnsiTheme="minorEastAsia" w:eastAsiaTheme="minorEastAsia"/>
          <w:b/>
          <w:bCs w:val="0"/>
          <w:sz w:val="30"/>
          <w:szCs w:val="30"/>
        </w:rPr>
      </w:pPr>
      <w:bookmarkStart w:id="82" w:name="_Toc10190"/>
      <w:bookmarkStart w:id="83" w:name="_Hlk102663617"/>
      <w:r>
        <w:rPr>
          <w:rFonts w:hint="eastAsia" w:cs="宋体" w:asciiTheme="minorEastAsia" w:hAnsiTheme="minorEastAsia" w:eastAsiaTheme="minorEastAsia"/>
          <w:b/>
          <w:bCs w:val="0"/>
          <w:sz w:val="30"/>
          <w:szCs w:val="30"/>
        </w:rPr>
        <w:t>第二章</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合同文本格式</w:t>
      </w:r>
    </w:p>
    <w:p>
      <w:pPr>
        <w:spacing w:after="312" w:afterLines="100"/>
        <w:jc w:val="center"/>
        <w:rPr>
          <w:b/>
          <w:bCs/>
          <w:sz w:val="28"/>
          <w:szCs w:val="32"/>
        </w:rPr>
      </w:pPr>
      <w:r>
        <w:rPr>
          <w:rFonts w:hint="eastAsia"/>
          <w:b/>
          <w:bCs/>
          <w:sz w:val="28"/>
          <w:szCs w:val="32"/>
        </w:rPr>
        <w:t>1</w:t>
      </w:r>
      <w:r>
        <w:rPr>
          <w:b/>
          <w:bCs/>
          <w:sz w:val="28"/>
          <w:szCs w:val="32"/>
        </w:rPr>
        <w:t>.合同主要条款</w:t>
      </w:r>
      <w:bookmarkEnd w:id="82"/>
    </w:p>
    <w:p>
      <w:pPr>
        <w:snapToGrid w:val="0"/>
        <w:spacing w:line="360" w:lineRule="auto"/>
        <w:ind w:firstLine="472" w:firstLineChars="225"/>
        <w:rPr>
          <w:rFonts w:ascii="Arial" w:hAnsi="Arial"/>
          <w:szCs w:val="21"/>
        </w:rPr>
      </w:pPr>
      <w:r>
        <w:rPr>
          <w:rFonts w:hint="eastAsia" w:ascii="Arial" w:hAnsi="Arial"/>
          <w:szCs w:val="21"/>
        </w:rPr>
        <w:t>本合同（以下简称“合同”）于2023年</w:t>
      </w:r>
      <w:r>
        <w:rPr>
          <w:rFonts w:hint="eastAsia" w:ascii="Arial" w:hAnsi="Arial"/>
          <w:szCs w:val="21"/>
          <w:u w:val="single"/>
        </w:rPr>
        <w:t xml:space="preserve">      </w:t>
      </w:r>
      <w:r>
        <w:rPr>
          <w:rFonts w:hint="eastAsia" w:ascii="Arial" w:hAnsi="Arial"/>
          <w:szCs w:val="21"/>
        </w:rPr>
        <w:t>月</w:t>
      </w:r>
      <w:r>
        <w:rPr>
          <w:rFonts w:hint="eastAsia" w:ascii="Arial" w:hAnsi="Arial"/>
          <w:szCs w:val="21"/>
          <w:u w:val="single"/>
        </w:rPr>
        <w:t xml:space="preserve">      </w:t>
      </w:r>
      <w:r>
        <w:rPr>
          <w:rFonts w:hint="eastAsia" w:ascii="Arial" w:hAnsi="Arial"/>
          <w:szCs w:val="21"/>
        </w:rPr>
        <w:t>日在</w:t>
      </w:r>
      <w:r>
        <w:rPr>
          <w:rFonts w:hint="eastAsia" w:ascii="Arial" w:hAnsi="Arial"/>
          <w:szCs w:val="21"/>
          <w:u w:val="single"/>
        </w:rPr>
        <w:t xml:space="preserve">     </w:t>
      </w:r>
      <w:r>
        <w:rPr>
          <w:rFonts w:hint="eastAsia" w:ascii="Arial" w:hAnsi="Arial"/>
          <w:szCs w:val="21"/>
        </w:rPr>
        <w:t>由</w:t>
      </w:r>
      <w:r>
        <w:rPr>
          <w:rFonts w:hint="eastAsia" w:ascii="Arial" w:hAnsi="Arial"/>
          <w:b/>
          <w:bCs/>
          <w:szCs w:val="21"/>
          <w:u w:val="single"/>
        </w:rPr>
        <w:t>厦门启润零碳数字科技有限公司</w:t>
      </w:r>
      <w:r>
        <w:rPr>
          <w:rFonts w:hint="eastAsia" w:ascii="Arial" w:hAnsi="Arial"/>
          <w:szCs w:val="21"/>
        </w:rPr>
        <w:t>（以下简称“买方”）与</w:t>
      </w:r>
      <w:r>
        <w:rPr>
          <w:rFonts w:hint="eastAsia" w:ascii="Arial" w:hAnsi="Arial"/>
          <w:b/>
          <w:bCs/>
          <w:szCs w:val="21"/>
          <w:u w:val="single"/>
        </w:rPr>
        <w:t xml:space="preserve"> </w:t>
      </w:r>
      <w:r>
        <w:rPr>
          <w:rFonts w:ascii="Arial" w:hAnsi="Arial"/>
          <w:b/>
          <w:bCs/>
          <w:szCs w:val="21"/>
          <w:u w:val="single"/>
        </w:rPr>
        <w:t xml:space="preserve">             </w:t>
      </w:r>
      <w:r>
        <w:rPr>
          <w:rFonts w:hint="eastAsia" w:ascii="Arial" w:hAnsi="Arial"/>
          <w:b/>
          <w:bCs/>
          <w:szCs w:val="21"/>
          <w:u w:val="single"/>
        </w:rPr>
        <w:t>公司</w:t>
      </w:r>
      <w:r>
        <w:rPr>
          <w:rFonts w:hint="eastAsia" w:ascii="Arial" w:hAnsi="Arial"/>
          <w:szCs w:val="21"/>
        </w:rPr>
        <w:t>（以下简称“卖方”）作为另一方通过友好协商按下述条款和条件签署：</w:t>
      </w:r>
    </w:p>
    <w:p>
      <w:pPr>
        <w:snapToGrid w:val="0"/>
        <w:spacing w:line="360" w:lineRule="auto"/>
        <w:ind w:firstLine="420"/>
        <w:rPr>
          <w:rFonts w:ascii="Arial" w:hAnsi="Arial"/>
          <w:szCs w:val="21"/>
        </w:rPr>
      </w:pPr>
      <w:r>
        <w:rPr>
          <w:rFonts w:hint="eastAsia" w:ascii="Arial" w:hAnsi="Arial"/>
          <w:szCs w:val="21"/>
        </w:rPr>
        <w:t>鉴于买方为获得以下货物和伴随服务，即：“嘉庚号”科考船智能低碳港口船舶岸电系统采购项目而公开招标，并以签约合同价</w:t>
      </w:r>
      <w:r>
        <w:rPr>
          <w:rFonts w:hint="eastAsia" w:ascii="Arial" w:hAnsi="Arial"/>
          <w:b/>
          <w:bCs/>
          <w:szCs w:val="21"/>
          <w:u w:val="single"/>
        </w:rPr>
        <w:t xml:space="preserve">人民币 </w:t>
      </w:r>
      <w:r>
        <w:rPr>
          <w:rFonts w:ascii="Arial" w:hAnsi="Arial"/>
          <w:b/>
          <w:bCs/>
          <w:szCs w:val="21"/>
          <w:u w:val="single"/>
        </w:rPr>
        <w:t xml:space="preserve">        </w:t>
      </w:r>
      <w:r>
        <w:rPr>
          <w:rFonts w:hint="eastAsia" w:ascii="Arial" w:hAnsi="Arial"/>
          <w:b/>
          <w:bCs/>
          <w:szCs w:val="21"/>
          <w:u w:val="single"/>
        </w:rPr>
        <w:t>元（￥</w:t>
      </w:r>
      <w:r>
        <w:rPr>
          <w:rFonts w:ascii="Arial" w:hAnsi="Arial"/>
          <w:b/>
          <w:bCs/>
          <w:szCs w:val="21"/>
          <w:u w:val="single"/>
        </w:rPr>
        <w:t>xxxxx</w:t>
      </w:r>
      <w:r>
        <w:rPr>
          <w:rFonts w:hint="eastAsia" w:ascii="Arial" w:hAnsi="Arial"/>
          <w:b/>
          <w:bCs/>
          <w:szCs w:val="21"/>
          <w:u w:val="single"/>
        </w:rPr>
        <w:t>.00）</w:t>
      </w:r>
      <w:r>
        <w:rPr>
          <w:rFonts w:hint="eastAsia" w:ascii="Arial" w:hAnsi="Arial"/>
          <w:szCs w:val="21"/>
        </w:rPr>
        <w:t>（以下简称“合同价”），提供上述项目项下货物和服务的投标。</w:t>
      </w:r>
    </w:p>
    <w:p>
      <w:pPr>
        <w:snapToGrid w:val="0"/>
        <w:spacing w:line="360" w:lineRule="auto"/>
        <w:rPr>
          <w:rFonts w:ascii="Arial" w:hAnsi="Arial"/>
          <w:szCs w:val="21"/>
        </w:rPr>
      </w:pPr>
      <w:r>
        <w:rPr>
          <w:rFonts w:hint="eastAsia" w:ascii="Arial" w:hAnsi="Arial"/>
          <w:szCs w:val="21"/>
        </w:rPr>
        <w:t xml:space="preserve">    </w:t>
      </w:r>
    </w:p>
    <w:p>
      <w:pPr>
        <w:snapToGrid w:val="0"/>
        <w:spacing w:line="360" w:lineRule="auto"/>
        <w:ind w:firstLine="420" w:firstLineChars="200"/>
        <w:rPr>
          <w:rFonts w:ascii="Arial" w:hAnsi="Arial"/>
          <w:szCs w:val="21"/>
        </w:rPr>
      </w:pPr>
      <w:r>
        <w:rPr>
          <w:rFonts w:hint="eastAsia" w:ascii="Arial" w:hAnsi="Arial"/>
          <w:szCs w:val="21"/>
        </w:rPr>
        <w:t>本合同在此声明如下：</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本合同中的词语和述语的含义与合同条款中定义的相同。</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下述文件是本合同的一部分，并与本合同一起阅读和解释：</w:t>
      </w:r>
    </w:p>
    <w:p>
      <w:pPr>
        <w:numPr>
          <w:ilvl w:val="0"/>
          <w:numId w:val="4"/>
        </w:numPr>
        <w:snapToGrid w:val="0"/>
        <w:spacing w:line="360" w:lineRule="auto"/>
        <w:ind w:firstLine="420" w:firstLineChars="200"/>
        <w:rPr>
          <w:rFonts w:ascii="Arial" w:hAnsi="Arial"/>
          <w:szCs w:val="21"/>
        </w:rPr>
      </w:pPr>
      <w:r>
        <w:rPr>
          <w:rFonts w:hint="eastAsia" w:ascii="Arial" w:hAnsi="Arial"/>
          <w:szCs w:val="21"/>
        </w:rPr>
        <w:t>招标文件、中标人的投标文件及澄清文件等，均是合同的组成部分。</w:t>
      </w:r>
    </w:p>
    <w:p>
      <w:pPr>
        <w:numPr>
          <w:ilvl w:val="0"/>
          <w:numId w:val="4"/>
        </w:numPr>
        <w:snapToGrid w:val="0"/>
        <w:spacing w:line="360" w:lineRule="auto"/>
        <w:ind w:firstLine="420" w:firstLineChars="200"/>
        <w:rPr>
          <w:rFonts w:ascii="Arial" w:hAnsi="Arial"/>
          <w:szCs w:val="21"/>
        </w:rPr>
      </w:pPr>
      <w:r>
        <w:rPr>
          <w:rFonts w:hint="eastAsia" w:ascii="Arial" w:hAnsi="Arial"/>
          <w:szCs w:val="21"/>
        </w:rPr>
        <w:t>合同条款</w:t>
      </w:r>
    </w:p>
    <w:p>
      <w:pPr>
        <w:numPr>
          <w:ilvl w:val="0"/>
          <w:numId w:val="4"/>
        </w:numPr>
        <w:snapToGrid w:val="0"/>
        <w:spacing w:line="360" w:lineRule="auto"/>
        <w:ind w:firstLine="420" w:firstLineChars="200"/>
        <w:rPr>
          <w:rFonts w:ascii="Arial" w:hAnsi="Arial" w:cs="Arial"/>
          <w:szCs w:val="21"/>
        </w:rPr>
      </w:pPr>
      <w:r>
        <w:rPr>
          <w:rFonts w:hint="eastAsia" w:ascii="Arial" w:hAnsi="Arial"/>
          <w:szCs w:val="21"/>
        </w:rPr>
        <w:t>合同附件</w:t>
      </w:r>
    </w:p>
    <w:p>
      <w:pPr>
        <w:snapToGrid w:val="0"/>
        <w:spacing w:line="360" w:lineRule="auto"/>
        <w:ind w:firstLine="840"/>
        <w:rPr>
          <w:rFonts w:ascii="Arial" w:hAnsi="Arial"/>
          <w:szCs w:val="21"/>
        </w:rPr>
      </w:pPr>
      <w:r>
        <w:rPr>
          <w:rFonts w:hint="eastAsia" w:ascii="Arial" w:hAnsi="Arial"/>
          <w:szCs w:val="21"/>
        </w:rPr>
        <w:t>附件1-供货范围及分项价格表</w:t>
      </w:r>
    </w:p>
    <w:p>
      <w:pPr>
        <w:snapToGrid w:val="0"/>
        <w:spacing w:line="360" w:lineRule="auto"/>
        <w:ind w:firstLine="840"/>
        <w:rPr>
          <w:rFonts w:ascii="Arial" w:hAnsi="Arial"/>
          <w:szCs w:val="21"/>
        </w:rPr>
      </w:pPr>
      <w:r>
        <w:rPr>
          <w:rFonts w:hint="eastAsia" w:ascii="Arial" w:hAnsi="Arial"/>
          <w:szCs w:val="21"/>
        </w:rPr>
        <w:t>附件2-技术规格书</w:t>
      </w:r>
    </w:p>
    <w:p>
      <w:pPr>
        <w:snapToGrid w:val="0"/>
        <w:spacing w:line="360" w:lineRule="auto"/>
        <w:ind w:firstLine="840"/>
        <w:rPr>
          <w:rFonts w:ascii="Arial" w:hAnsi="Arial"/>
          <w:szCs w:val="21"/>
        </w:rPr>
      </w:pPr>
      <w:r>
        <w:rPr>
          <w:rFonts w:hint="eastAsia" w:ascii="Arial" w:hAnsi="Arial"/>
          <w:szCs w:val="21"/>
        </w:rPr>
        <w:t>附件3-交货批次及交货时间</w:t>
      </w:r>
    </w:p>
    <w:p>
      <w:pPr>
        <w:numPr>
          <w:ilvl w:val="0"/>
          <w:numId w:val="4"/>
        </w:numPr>
        <w:snapToGrid w:val="0"/>
        <w:spacing w:line="360" w:lineRule="auto"/>
        <w:ind w:firstLine="420" w:firstLineChars="200"/>
        <w:rPr>
          <w:rFonts w:ascii="Arial" w:hAnsi="Arial" w:cs="Arial"/>
          <w:szCs w:val="21"/>
        </w:rPr>
      </w:pPr>
      <w:r>
        <w:rPr>
          <w:rFonts w:hint="eastAsia" w:ascii="Arial" w:hAnsi="Arial"/>
          <w:szCs w:val="21"/>
        </w:rPr>
        <w:t>中标通知书</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交钥匙日期：</w:t>
      </w:r>
      <w:r>
        <w:rPr>
          <w:rFonts w:hint="eastAsia" w:ascii="Arial" w:hAnsi="Arial" w:cs="Arial"/>
          <w:bCs/>
          <w:szCs w:val="21"/>
          <w:u w:val="single"/>
        </w:rPr>
        <w:t>总工期为</w:t>
      </w:r>
      <w:r>
        <w:rPr>
          <w:rFonts w:ascii="Arial" w:hAnsi="Arial" w:cs="Arial"/>
          <w:bCs/>
          <w:szCs w:val="21"/>
          <w:u w:val="single"/>
        </w:rPr>
        <w:t>6</w:t>
      </w:r>
      <w:r>
        <w:rPr>
          <w:rFonts w:hint="eastAsia" w:ascii="Arial" w:hAnsi="Arial" w:cs="Arial"/>
          <w:bCs/>
          <w:szCs w:val="21"/>
          <w:u w:val="single"/>
        </w:rPr>
        <w:t>0日。合同生效后</w:t>
      </w:r>
      <w:r>
        <w:rPr>
          <w:rFonts w:ascii="Arial" w:hAnsi="Arial" w:cs="Arial"/>
          <w:bCs/>
          <w:szCs w:val="21"/>
          <w:u w:val="single"/>
        </w:rPr>
        <w:t>6</w:t>
      </w:r>
      <w:r>
        <w:rPr>
          <w:rFonts w:hint="eastAsia" w:ascii="Arial" w:hAnsi="Arial" w:cs="Arial"/>
          <w:bCs/>
          <w:szCs w:val="21"/>
          <w:u w:val="single"/>
        </w:rPr>
        <w:t>0日历天内完成现场安装并通过中国船级社认证（以收到中国船级社认证证书为准）。</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考虑到买方将按照本合同向卖方支付价款，卖方在此保证全部按照合同的规定向买方提供货物和服务，并修补缺陷。</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考虑到卖方将按合同规定提供货物和服务并修补缺陷，买方在此保证按照合同规定的时间和方式向卖方支付合同价或其他按合同规定应支付的金额。</w:t>
      </w:r>
    </w:p>
    <w:p>
      <w:pPr>
        <w:numPr>
          <w:ilvl w:val="0"/>
          <w:numId w:val="3"/>
        </w:numPr>
        <w:adjustRightInd w:val="0"/>
        <w:snapToGrid w:val="0"/>
        <w:spacing w:line="360" w:lineRule="auto"/>
        <w:textAlignment w:val="baseline"/>
        <w:rPr>
          <w:rFonts w:ascii="Arial" w:hAnsi="Arial"/>
          <w:szCs w:val="21"/>
        </w:rPr>
      </w:pPr>
      <w:r>
        <w:rPr>
          <w:rFonts w:hint="eastAsia" w:ascii="Arial" w:hAnsi="Arial"/>
          <w:szCs w:val="21"/>
        </w:rPr>
        <w:t>合同生效及其它</w:t>
      </w:r>
    </w:p>
    <w:p>
      <w:pPr>
        <w:pStyle w:val="14"/>
        <w:numPr>
          <w:ilvl w:val="0"/>
          <w:numId w:val="5"/>
        </w:numPr>
        <w:snapToGrid w:val="0"/>
        <w:spacing w:line="360" w:lineRule="auto"/>
        <w:rPr>
          <w:rFonts w:ascii="Arial" w:hAnsi="Arial"/>
          <w:sz w:val="21"/>
          <w:szCs w:val="21"/>
          <w:lang w:eastAsia="zh-CN"/>
        </w:rPr>
      </w:pPr>
      <w:r>
        <w:rPr>
          <w:rFonts w:ascii="Arial" w:hAnsi="Arial"/>
          <w:sz w:val="21"/>
          <w:szCs w:val="21"/>
          <w:lang w:eastAsia="zh-CN"/>
        </w:rPr>
        <w:t>合同于下述签字日期由合同双方法定代表人（</w:t>
      </w:r>
      <w:r>
        <w:rPr>
          <w:lang w:eastAsia="zh-CN"/>
        </w:rPr>
        <w:t>或</w:t>
      </w:r>
      <w:r>
        <w:rPr>
          <w:rFonts w:ascii="Arial" w:hAnsi="Arial"/>
          <w:sz w:val="21"/>
          <w:szCs w:val="21"/>
          <w:lang w:eastAsia="zh-CN"/>
        </w:rPr>
        <w:t xml:space="preserve">授权代表）签署并加盖公章后生效。 </w:t>
      </w:r>
    </w:p>
    <w:p>
      <w:pPr>
        <w:pStyle w:val="14"/>
        <w:numPr>
          <w:ilvl w:val="0"/>
          <w:numId w:val="5"/>
        </w:numPr>
        <w:snapToGrid w:val="0"/>
        <w:spacing w:line="360" w:lineRule="auto"/>
        <w:rPr>
          <w:rFonts w:ascii="Arial" w:hAnsi="Arial"/>
          <w:sz w:val="21"/>
          <w:szCs w:val="21"/>
          <w:lang w:eastAsia="zh-CN"/>
        </w:rPr>
      </w:pPr>
      <w:r>
        <w:rPr>
          <w:rFonts w:ascii="Arial" w:hAnsi="Arial"/>
          <w:sz w:val="21"/>
          <w:szCs w:val="21"/>
          <w:lang w:eastAsia="zh-CN"/>
        </w:rPr>
        <w:t>合同以中文书写，</w:t>
      </w:r>
      <w:r>
        <w:rPr>
          <w:rFonts w:ascii="Arial" w:hAnsi="Arial"/>
          <w:bCs/>
          <w:sz w:val="21"/>
          <w:szCs w:val="22"/>
          <w:lang w:eastAsia="zh-CN"/>
        </w:rPr>
        <w:t>本合同一式</w:t>
      </w:r>
      <w:r>
        <w:rPr>
          <w:rFonts w:ascii="Arial" w:hAnsi="Arial"/>
          <w:bCs/>
          <w:sz w:val="21"/>
          <w:szCs w:val="22"/>
          <w:u w:val="single"/>
          <w:lang w:eastAsia="zh-CN"/>
        </w:rPr>
        <w:t xml:space="preserve"> 6</w:t>
      </w:r>
      <w:r>
        <w:rPr>
          <w:rFonts w:ascii="Arial" w:hAnsi="Arial"/>
          <w:bCs/>
          <w:sz w:val="21"/>
          <w:szCs w:val="22"/>
          <w:lang w:eastAsia="zh-CN"/>
        </w:rPr>
        <w:t>份，均具有同等法律效力，双方各执</w:t>
      </w:r>
      <w:r>
        <w:rPr>
          <w:rFonts w:ascii="Arial" w:hAnsi="Arial"/>
          <w:bCs/>
          <w:sz w:val="21"/>
          <w:szCs w:val="22"/>
          <w:u w:val="single"/>
          <w:lang w:eastAsia="zh-CN"/>
        </w:rPr>
        <w:t xml:space="preserve"> 3 </w:t>
      </w:r>
      <w:r>
        <w:rPr>
          <w:rFonts w:ascii="Arial" w:hAnsi="Arial"/>
          <w:bCs/>
          <w:sz w:val="21"/>
          <w:szCs w:val="22"/>
          <w:lang w:eastAsia="zh-CN"/>
        </w:rPr>
        <w:t>份</w:t>
      </w:r>
      <w:r>
        <w:rPr>
          <w:rFonts w:ascii="Arial" w:hAnsi="Arial"/>
          <w:sz w:val="21"/>
          <w:szCs w:val="21"/>
          <w:lang w:eastAsia="zh-CN"/>
        </w:rPr>
        <w:t xml:space="preserve">。 </w:t>
      </w:r>
    </w:p>
    <w:p>
      <w:pPr>
        <w:pStyle w:val="14"/>
        <w:numPr>
          <w:ilvl w:val="0"/>
          <w:numId w:val="5"/>
        </w:numPr>
        <w:snapToGrid w:val="0"/>
        <w:spacing w:line="360" w:lineRule="auto"/>
        <w:rPr>
          <w:rFonts w:ascii="Arial" w:hAnsi="Arial"/>
          <w:sz w:val="21"/>
          <w:szCs w:val="21"/>
          <w:lang w:eastAsia="zh-CN"/>
        </w:rPr>
      </w:pPr>
      <w:r>
        <w:rPr>
          <w:rFonts w:ascii="Arial" w:hAnsi="Arial"/>
          <w:sz w:val="21"/>
          <w:szCs w:val="21"/>
          <w:lang w:eastAsia="zh-CN"/>
        </w:rPr>
        <w:t xml:space="preserve">合同附件是合同的组成部分，与合同具有同等法律效力。 </w:t>
      </w:r>
    </w:p>
    <w:p>
      <w:pPr>
        <w:pStyle w:val="14"/>
        <w:numPr>
          <w:ilvl w:val="0"/>
          <w:numId w:val="5"/>
        </w:numPr>
        <w:snapToGrid w:val="0"/>
        <w:spacing w:line="360" w:lineRule="auto"/>
        <w:rPr>
          <w:rFonts w:ascii="Arial" w:hAnsi="Arial"/>
          <w:sz w:val="21"/>
          <w:szCs w:val="21"/>
          <w:lang w:eastAsia="zh-CN"/>
        </w:rPr>
      </w:pPr>
      <w:r>
        <w:rPr>
          <w:rFonts w:ascii="Arial" w:hAnsi="Arial"/>
          <w:sz w:val="21"/>
          <w:szCs w:val="21"/>
          <w:lang w:eastAsia="zh-CN"/>
        </w:rPr>
        <w:t xml:space="preserve">对合同条款和条件的修改和补充，应由双方协商达成一致，并由双方授权代表签署书面协议，该书面协议成为合同的组成部分，与合同具有同等法律效力。 </w:t>
      </w:r>
    </w:p>
    <w:p>
      <w:pPr>
        <w:pStyle w:val="14"/>
        <w:numPr>
          <w:ilvl w:val="0"/>
          <w:numId w:val="5"/>
        </w:numPr>
        <w:snapToGrid w:val="0"/>
        <w:spacing w:line="360" w:lineRule="auto"/>
        <w:rPr>
          <w:rFonts w:ascii="Arial" w:hAnsi="Arial"/>
          <w:sz w:val="21"/>
          <w:szCs w:val="21"/>
          <w:lang w:eastAsia="zh-CN"/>
        </w:rPr>
      </w:pPr>
      <w:r>
        <w:rPr>
          <w:rFonts w:ascii="Arial" w:hAnsi="Arial"/>
          <w:sz w:val="21"/>
          <w:szCs w:val="21"/>
          <w:lang w:eastAsia="zh-CN"/>
        </w:rPr>
        <w:t>合同双方均无须承担本合同以外的责任和义务。</w:t>
      </w:r>
    </w:p>
    <w:p>
      <w:pPr>
        <w:pStyle w:val="14"/>
        <w:numPr>
          <w:ilvl w:val="0"/>
          <w:numId w:val="5"/>
        </w:numPr>
        <w:snapToGrid w:val="0"/>
        <w:spacing w:line="360" w:lineRule="auto"/>
        <w:rPr>
          <w:rFonts w:ascii="Arial" w:hAnsi="Arial"/>
          <w:sz w:val="21"/>
          <w:szCs w:val="21"/>
        </w:rPr>
      </w:pPr>
      <w:r>
        <w:rPr>
          <w:rFonts w:ascii="Arial" w:hAnsi="Arial"/>
          <w:sz w:val="21"/>
          <w:szCs w:val="21"/>
        </w:rPr>
        <w:t xml:space="preserve">合同条款27条内容 </w:t>
      </w:r>
    </w:p>
    <w:p>
      <w:pPr>
        <w:pStyle w:val="14"/>
        <w:snapToGrid w:val="0"/>
        <w:spacing w:line="360" w:lineRule="auto"/>
        <w:ind w:firstLine="420"/>
        <w:rPr>
          <w:rFonts w:ascii="Arial" w:hAnsi="Arial"/>
          <w:sz w:val="21"/>
          <w:szCs w:val="21"/>
          <w:lang w:eastAsia="zh-CN"/>
        </w:rPr>
      </w:pPr>
      <w:r>
        <w:rPr>
          <w:rFonts w:ascii="Arial" w:hAnsi="Arial"/>
          <w:sz w:val="21"/>
          <w:szCs w:val="21"/>
          <w:lang w:eastAsia="zh-CN"/>
        </w:rPr>
        <w:t>本合同如有未尽事宜，由双方另行协商解决。</w:t>
      </w:r>
    </w:p>
    <w:p>
      <w:pPr>
        <w:pStyle w:val="14"/>
        <w:tabs>
          <w:tab w:val="left" w:pos="4350"/>
        </w:tabs>
        <w:snapToGrid w:val="0"/>
        <w:spacing w:line="360" w:lineRule="auto"/>
        <w:ind w:firstLine="420" w:firstLineChars="200"/>
        <w:rPr>
          <w:rFonts w:ascii="Arial" w:hAnsi="Arial"/>
          <w:b/>
          <w:bCs/>
          <w:sz w:val="21"/>
          <w:szCs w:val="21"/>
          <w:lang w:eastAsia="zh-CN"/>
        </w:rPr>
      </w:pPr>
      <w:r>
        <w:rPr>
          <w:rFonts w:ascii="Arial" w:hAnsi="Arial"/>
          <w:sz w:val="21"/>
          <w:szCs w:val="21"/>
          <w:lang w:eastAsia="zh-CN"/>
        </w:rPr>
        <w:t>双方在上述日期签署本协议</w:t>
      </w:r>
    </w:p>
    <w:p>
      <w:pPr>
        <w:tabs>
          <w:tab w:val="left" w:pos="907"/>
        </w:tabs>
        <w:snapToGrid w:val="0"/>
        <w:spacing w:line="360" w:lineRule="auto"/>
        <w:ind w:left="852" w:leftChars="150" w:hanging="537" w:hangingChars="256"/>
        <w:rPr>
          <w:rFonts w:ascii="Arial" w:hAnsi="Arial"/>
          <w:szCs w:val="21"/>
        </w:rPr>
      </w:pPr>
    </w:p>
    <w:p>
      <w:pPr>
        <w:tabs>
          <w:tab w:val="left" w:pos="907"/>
        </w:tabs>
        <w:snapToGrid w:val="0"/>
        <w:spacing w:line="360" w:lineRule="auto"/>
        <w:ind w:left="852" w:leftChars="150" w:hanging="537" w:hangingChars="256"/>
        <w:rPr>
          <w:rFonts w:ascii="Arial" w:hAnsi="Arial"/>
          <w:szCs w:val="21"/>
        </w:rPr>
      </w:pPr>
    </w:p>
    <w:p>
      <w:pPr>
        <w:tabs>
          <w:tab w:val="left" w:pos="907"/>
        </w:tabs>
        <w:snapToGrid w:val="0"/>
        <w:spacing w:line="360" w:lineRule="auto"/>
        <w:ind w:left="852" w:leftChars="150" w:hanging="537" w:hangingChars="256"/>
        <w:rPr>
          <w:rFonts w:ascii="Arial" w:hAnsi="Arial"/>
          <w:szCs w:val="21"/>
        </w:rPr>
      </w:pPr>
    </w:p>
    <w:tbl>
      <w:tblPr>
        <w:tblStyle w:val="25"/>
        <w:tblW w:w="0" w:type="auto"/>
        <w:tblInd w:w="99" w:type="dxa"/>
        <w:tblLayout w:type="fixed"/>
        <w:tblCellMar>
          <w:top w:w="0" w:type="dxa"/>
          <w:left w:w="108" w:type="dxa"/>
          <w:bottom w:w="0" w:type="dxa"/>
          <w:right w:w="108" w:type="dxa"/>
        </w:tblCellMar>
      </w:tblPr>
      <w:tblGrid>
        <w:gridCol w:w="4204"/>
        <w:gridCol w:w="4211"/>
      </w:tblGrid>
      <w:tr>
        <w:tblPrEx>
          <w:tblCellMar>
            <w:top w:w="0" w:type="dxa"/>
            <w:left w:w="108" w:type="dxa"/>
            <w:bottom w:w="0" w:type="dxa"/>
            <w:right w:w="108" w:type="dxa"/>
          </w:tblCellMar>
        </w:tblPrEx>
        <w:tc>
          <w:tcPr>
            <w:tcW w:w="4204" w:type="dxa"/>
          </w:tcPr>
          <w:p>
            <w:pPr>
              <w:snapToGrid w:val="0"/>
              <w:spacing w:line="400" w:lineRule="exact"/>
              <w:rPr>
                <w:rFonts w:ascii="Arial" w:hAnsi="Arial"/>
              </w:rPr>
            </w:pPr>
            <w:r>
              <w:rPr>
                <w:rFonts w:ascii="Arial" w:hAnsi="Arial"/>
                <w:b/>
                <w:bCs/>
                <w:szCs w:val="21"/>
              </w:rPr>
              <w:t>买方：</w:t>
            </w:r>
            <w:r>
              <w:rPr>
                <w:rFonts w:hint="eastAsia" w:ascii="Arial" w:hAnsi="Arial"/>
                <w:b/>
                <w:bCs/>
                <w:szCs w:val="21"/>
                <w:u w:val="single"/>
              </w:rPr>
              <w:t>厦门启润零碳数字科技有限公司</w:t>
            </w:r>
          </w:p>
        </w:tc>
        <w:tc>
          <w:tcPr>
            <w:tcW w:w="4211" w:type="dxa"/>
          </w:tcPr>
          <w:p>
            <w:pPr>
              <w:snapToGrid w:val="0"/>
              <w:spacing w:line="400" w:lineRule="exact"/>
              <w:rPr>
                <w:rFonts w:ascii="Arial" w:hAnsi="Arial"/>
              </w:rPr>
            </w:pPr>
            <w:r>
              <w:rPr>
                <w:rFonts w:ascii="Arial" w:hAnsi="Arial"/>
                <w:b/>
                <w:bCs/>
                <w:szCs w:val="21"/>
              </w:rPr>
              <w:t>卖方</w:t>
            </w:r>
            <w:r>
              <w:rPr>
                <w:rFonts w:hint="eastAsia" w:ascii="Arial" w:hAnsi="Arial"/>
                <w:b/>
                <w:bCs/>
                <w:szCs w:val="21"/>
              </w:rPr>
              <w:t>：</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法人代表：</w:t>
            </w:r>
          </w:p>
          <w:p>
            <w:pPr>
              <w:snapToGrid w:val="0"/>
              <w:spacing w:line="400" w:lineRule="exact"/>
              <w:rPr>
                <w:rFonts w:ascii="Arial" w:hAnsi="Arial"/>
                <w:szCs w:val="21"/>
              </w:rPr>
            </w:pPr>
            <w:r>
              <w:rPr>
                <w:rFonts w:ascii="Arial" w:hAnsi="Arial"/>
                <w:szCs w:val="21"/>
              </w:rPr>
              <w:t>或授权代理人：</w:t>
            </w:r>
          </w:p>
        </w:tc>
        <w:tc>
          <w:tcPr>
            <w:tcW w:w="4211" w:type="dxa"/>
          </w:tcPr>
          <w:p>
            <w:pPr>
              <w:snapToGrid w:val="0"/>
              <w:spacing w:line="400" w:lineRule="exact"/>
              <w:rPr>
                <w:rFonts w:ascii="Arial" w:hAnsi="Arial"/>
                <w:szCs w:val="21"/>
              </w:rPr>
            </w:pPr>
            <w:r>
              <w:rPr>
                <w:rFonts w:ascii="Arial" w:hAnsi="Arial"/>
                <w:szCs w:val="21"/>
              </w:rPr>
              <w:t>法人代表：</w:t>
            </w:r>
          </w:p>
          <w:p>
            <w:pPr>
              <w:snapToGrid w:val="0"/>
              <w:spacing w:line="400" w:lineRule="exact"/>
              <w:rPr>
                <w:rFonts w:ascii="Arial" w:hAnsi="Arial"/>
              </w:rPr>
            </w:pPr>
            <w:r>
              <w:rPr>
                <w:rFonts w:ascii="Arial" w:hAnsi="Arial"/>
                <w:szCs w:val="21"/>
              </w:rPr>
              <w:t>或授权代理人：</w:t>
            </w:r>
          </w:p>
        </w:tc>
      </w:tr>
      <w:tr>
        <w:tblPrEx>
          <w:tblCellMar>
            <w:top w:w="0" w:type="dxa"/>
            <w:left w:w="108" w:type="dxa"/>
            <w:bottom w:w="0" w:type="dxa"/>
            <w:right w:w="108" w:type="dxa"/>
          </w:tblCellMar>
        </w:tblPrEx>
        <w:tc>
          <w:tcPr>
            <w:tcW w:w="4204" w:type="dxa"/>
          </w:tcPr>
          <w:p>
            <w:pPr>
              <w:snapToGrid w:val="0"/>
              <w:spacing w:line="400" w:lineRule="exact"/>
              <w:ind w:left="630" w:hanging="630" w:hangingChars="300"/>
              <w:rPr>
                <w:rFonts w:ascii="Arial" w:hAnsi="Arial"/>
                <w:szCs w:val="21"/>
              </w:rPr>
            </w:pPr>
            <w:r>
              <w:rPr>
                <w:rFonts w:ascii="Arial" w:hAnsi="Arial"/>
                <w:szCs w:val="21"/>
              </w:rPr>
              <w:t>地址：</w:t>
            </w:r>
          </w:p>
        </w:tc>
        <w:tc>
          <w:tcPr>
            <w:tcW w:w="4211" w:type="dxa"/>
          </w:tcPr>
          <w:p>
            <w:pPr>
              <w:snapToGrid w:val="0"/>
              <w:spacing w:line="400" w:lineRule="exact"/>
              <w:ind w:left="630" w:hanging="630" w:hangingChars="300"/>
              <w:rPr>
                <w:rFonts w:ascii="Arial" w:hAnsi="Arial"/>
              </w:rPr>
            </w:pPr>
            <w:r>
              <w:rPr>
                <w:rFonts w:ascii="Arial" w:hAnsi="Arial"/>
                <w:szCs w:val="21"/>
              </w:rPr>
              <w:t>地址：</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邮编：</w:t>
            </w:r>
          </w:p>
        </w:tc>
        <w:tc>
          <w:tcPr>
            <w:tcW w:w="4211" w:type="dxa"/>
          </w:tcPr>
          <w:p>
            <w:pPr>
              <w:snapToGrid w:val="0"/>
              <w:spacing w:line="400" w:lineRule="exact"/>
              <w:rPr>
                <w:rFonts w:ascii="Arial" w:hAnsi="Arial"/>
              </w:rPr>
            </w:pPr>
            <w:r>
              <w:rPr>
                <w:rFonts w:ascii="Arial" w:hAnsi="Arial"/>
                <w:szCs w:val="21"/>
              </w:rPr>
              <w:t>邮编：</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传真：</w:t>
            </w:r>
          </w:p>
        </w:tc>
        <w:tc>
          <w:tcPr>
            <w:tcW w:w="4211" w:type="dxa"/>
          </w:tcPr>
          <w:p>
            <w:pPr>
              <w:snapToGrid w:val="0"/>
              <w:spacing w:line="400" w:lineRule="exact"/>
              <w:rPr>
                <w:rFonts w:ascii="Arial" w:hAnsi="Arial"/>
              </w:rPr>
            </w:pPr>
            <w:r>
              <w:rPr>
                <w:rFonts w:ascii="Arial" w:hAnsi="Arial"/>
                <w:szCs w:val="21"/>
              </w:rPr>
              <w:t>传真：</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电话：</w:t>
            </w:r>
          </w:p>
        </w:tc>
        <w:tc>
          <w:tcPr>
            <w:tcW w:w="4211" w:type="dxa"/>
          </w:tcPr>
          <w:p>
            <w:pPr>
              <w:snapToGrid w:val="0"/>
              <w:spacing w:line="400" w:lineRule="exact"/>
              <w:rPr>
                <w:rFonts w:ascii="Arial" w:hAnsi="Arial"/>
              </w:rPr>
            </w:pPr>
            <w:r>
              <w:rPr>
                <w:rFonts w:ascii="Arial" w:hAnsi="Arial"/>
                <w:szCs w:val="21"/>
              </w:rPr>
              <w:t>电话：</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联系人：</w:t>
            </w:r>
          </w:p>
        </w:tc>
        <w:tc>
          <w:tcPr>
            <w:tcW w:w="4211" w:type="dxa"/>
          </w:tcPr>
          <w:p>
            <w:pPr>
              <w:snapToGrid w:val="0"/>
              <w:spacing w:line="400" w:lineRule="exact"/>
              <w:rPr>
                <w:rFonts w:ascii="Arial" w:hAnsi="Arial"/>
              </w:rPr>
            </w:pPr>
            <w:r>
              <w:rPr>
                <w:rFonts w:ascii="Arial" w:hAnsi="Arial"/>
                <w:szCs w:val="21"/>
              </w:rPr>
              <w:t>联系人：</w:t>
            </w:r>
          </w:p>
        </w:tc>
      </w:tr>
      <w:tr>
        <w:tblPrEx>
          <w:tblCellMar>
            <w:top w:w="0" w:type="dxa"/>
            <w:left w:w="108" w:type="dxa"/>
            <w:bottom w:w="0" w:type="dxa"/>
            <w:right w:w="108" w:type="dxa"/>
          </w:tblCellMar>
        </w:tblPrEx>
        <w:tc>
          <w:tcPr>
            <w:tcW w:w="4204" w:type="dxa"/>
          </w:tcPr>
          <w:p>
            <w:pPr>
              <w:widowControl/>
              <w:jc w:val="left"/>
              <w:rPr>
                <w:rFonts w:ascii="Arial" w:hAnsi="Arial"/>
                <w:szCs w:val="21"/>
              </w:rPr>
            </w:pPr>
            <w:r>
              <w:rPr>
                <w:rFonts w:ascii="Arial" w:hAnsi="Arial"/>
                <w:szCs w:val="21"/>
              </w:rPr>
              <w:t>开户银行：</w:t>
            </w:r>
          </w:p>
        </w:tc>
        <w:tc>
          <w:tcPr>
            <w:tcW w:w="4211" w:type="dxa"/>
          </w:tcPr>
          <w:p>
            <w:pPr>
              <w:snapToGrid w:val="0"/>
              <w:spacing w:line="400" w:lineRule="exact"/>
              <w:rPr>
                <w:rFonts w:ascii="Arial" w:hAnsi="Arial"/>
              </w:rPr>
            </w:pPr>
            <w:r>
              <w:rPr>
                <w:rFonts w:ascii="Arial" w:hAnsi="Arial"/>
                <w:szCs w:val="21"/>
              </w:rPr>
              <w:t>开户银行：</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账号：</w:t>
            </w:r>
          </w:p>
        </w:tc>
        <w:tc>
          <w:tcPr>
            <w:tcW w:w="4211" w:type="dxa"/>
          </w:tcPr>
          <w:p>
            <w:pPr>
              <w:snapToGrid w:val="0"/>
              <w:spacing w:line="400" w:lineRule="exact"/>
              <w:rPr>
                <w:rFonts w:ascii="Arial" w:hAnsi="Arial"/>
              </w:rPr>
            </w:pPr>
            <w:r>
              <w:rPr>
                <w:rFonts w:ascii="Arial" w:hAnsi="Arial"/>
                <w:szCs w:val="21"/>
              </w:rPr>
              <w:t>账号：</w:t>
            </w:r>
          </w:p>
        </w:tc>
      </w:tr>
      <w:tr>
        <w:tblPrEx>
          <w:tblCellMar>
            <w:top w:w="0" w:type="dxa"/>
            <w:left w:w="108" w:type="dxa"/>
            <w:bottom w:w="0" w:type="dxa"/>
            <w:right w:w="108" w:type="dxa"/>
          </w:tblCellMar>
        </w:tblPrEx>
        <w:tc>
          <w:tcPr>
            <w:tcW w:w="4204" w:type="dxa"/>
          </w:tcPr>
          <w:p>
            <w:pPr>
              <w:snapToGrid w:val="0"/>
              <w:spacing w:line="400" w:lineRule="exact"/>
              <w:rPr>
                <w:rFonts w:ascii="Arial" w:hAnsi="Arial"/>
                <w:szCs w:val="21"/>
              </w:rPr>
            </w:pPr>
            <w:r>
              <w:rPr>
                <w:rFonts w:ascii="Arial" w:hAnsi="Arial"/>
                <w:szCs w:val="21"/>
              </w:rPr>
              <w:t>税务登记号：</w:t>
            </w:r>
          </w:p>
        </w:tc>
        <w:tc>
          <w:tcPr>
            <w:tcW w:w="4211" w:type="dxa"/>
          </w:tcPr>
          <w:p>
            <w:pPr>
              <w:snapToGrid w:val="0"/>
              <w:spacing w:line="400" w:lineRule="exact"/>
              <w:rPr>
                <w:rFonts w:ascii="Arial" w:hAnsi="Arial"/>
              </w:rPr>
            </w:pPr>
            <w:r>
              <w:rPr>
                <w:rFonts w:ascii="Arial" w:hAnsi="Arial"/>
                <w:szCs w:val="21"/>
              </w:rPr>
              <w:t>税务登记号：</w:t>
            </w:r>
          </w:p>
        </w:tc>
      </w:tr>
    </w:tbl>
    <w:p>
      <w:pPr>
        <w:snapToGrid w:val="0"/>
        <w:spacing w:line="360" w:lineRule="auto"/>
        <w:rPr>
          <w:rFonts w:ascii="Arial" w:hAnsi="Arial"/>
        </w:rPr>
      </w:pPr>
    </w:p>
    <w:p>
      <w:pPr>
        <w:pStyle w:val="14"/>
        <w:tabs>
          <w:tab w:val="left" w:pos="4680"/>
        </w:tabs>
        <w:snapToGrid w:val="0"/>
        <w:spacing w:line="360" w:lineRule="auto"/>
        <w:rPr>
          <w:rFonts w:ascii="Arial" w:hAnsi="Arial"/>
          <w:sz w:val="21"/>
        </w:rPr>
      </w:pPr>
    </w:p>
    <w:p>
      <w:pPr>
        <w:pStyle w:val="14"/>
        <w:snapToGrid w:val="0"/>
        <w:spacing w:line="360" w:lineRule="auto"/>
        <w:jc w:val="center"/>
        <w:rPr>
          <w:rFonts w:ascii="Arial" w:hAnsi="Arial"/>
          <w:sz w:val="21"/>
        </w:rPr>
      </w:pPr>
      <w:r>
        <w:rPr>
          <w:rFonts w:ascii="Arial" w:hAnsi="Arial"/>
          <w:sz w:val="21"/>
        </w:rPr>
        <w:t xml:space="preserve">                                </w:t>
      </w:r>
    </w:p>
    <w:p>
      <w:pPr>
        <w:pStyle w:val="14"/>
        <w:snapToGrid w:val="0"/>
        <w:spacing w:line="360" w:lineRule="auto"/>
        <w:ind w:firstLine="3255" w:firstLineChars="1550"/>
        <w:rPr>
          <w:rFonts w:ascii="Arial" w:hAnsi="Arial"/>
          <w:sz w:val="21"/>
        </w:rPr>
      </w:pPr>
      <w:r>
        <w:rPr>
          <w:rFonts w:ascii="Arial" w:hAnsi="Arial"/>
          <w:sz w:val="21"/>
        </w:rPr>
        <w:t xml:space="preserve">             </w:t>
      </w:r>
    </w:p>
    <w:p>
      <w:pPr>
        <w:snapToGrid w:val="0"/>
        <w:spacing w:line="360" w:lineRule="auto"/>
        <w:jc w:val="center"/>
        <w:rPr>
          <w:b/>
          <w:bCs/>
          <w:sz w:val="28"/>
          <w:szCs w:val="32"/>
        </w:rPr>
      </w:pPr>
      <w:r>
        <w:rPr>
          <w:rFonts w:ascii="Arial" w:hAnsi="Arial"/>
          <w:b/>
          <w:szCs w:val="21"/>
        </w:rPr>
        <w:br w:type="page"/>
      </w:r>
      <w:bookmarkStart w:id="84" w:name="_Toc286218490"/>
      <w:r>
        <w:rPr>
          <w:rFonts w:hint="eastAsia"/>
          <w:b/>
          <w:bCs/>
          <w:sz w:val="28"/>
          <w:szCs w:val="32"/>
        </w:rPr>
        <w:t>2</w:t>
      </w:r>
      <w:r>
        <w:rPr>
          <w:b/>
          <w:bCs/>
          <w:sz w:val="28"/>
          <w:szCs w:val="32"/>
        </w:rPr>
        <w:t>.</w:t>
      </w:r>
      <w:r>
        <w:rPr>
          <w:rFonts w:hint="eastAsia"/>
          <w:b/>
          <w:bCs/>
          <w:sz w:val="28"/>
          <w:szCs w:val="32"/>
        </w:rPr>
        <w:t>专用合同条款</w:t>
      </w:r>
      <w:bookmarkEnd w:id="84"/>
    </w:p>
    <w:p>
      <w:pPr>
        <w:numPr>
          <w:ilvl w:val="0"/>
          <w:numId w:val="6"/>
        </w:numPr>
        <w:autoSpaceDE w:val="0"/>
        <w:autoSpaceDN w:val="0"/>
        <w:adjustRightInd w:val="0"/>
        <w:snapToGrid w:val="0"/>
        <w:spacing w:line="360" w:lineRule="auto"/>
        <w:ind w:firstLine="0"/>
        <w:rPr>
          <w:rFonts w:ascii="Arial" w:hAnsi="Arial"/>
          <w:b/>
          <w:bCs/>
          <w:kern w:val="0"/>
          <w:szCs w:val="21"/>
        </w:rPr>
      </w:pPr>
      <w:r>
        <w:rPr>
          <w:rFonts w:hint="eastAsia" w:ascii="Arial" w:hAnsi="Arial" w:cs="宋体"/>
          <w:b/>
          <w:bCs/>
          <w:kern w:val="0"/>
          <w:szCs w:val="21"/>
        </w:rPr>
        <w:t>定义</w:t>
      </w:r>
    </w:p>
    <w:p>
      <w:pPr>
        <w:numPr>
          <w:ilvl w:val="0"/>
          <w:numId w:val="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“合同”系指买方和卖方(以下简称合同双方)已达成的协议，即由双方签订的合同格式中的文件，包括所有的附件相关文件的协议。</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“合同价格”系指根据合同规定，在卖方全面正确地履行合同义务时应支付给卖方的款项。</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“货物”系指卖方按合同要求，须向买方提供的一切设备、机械（包括供电、照明、给排水、通讯等）、仪器仪表、工具、手册及其它技术资料和其它材料。</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szCs w:val="21"/>
        </w:rPr>
        <w:t>卖方应按照或优于本技术规格书的要求对</w:t>
      </w:r>
      <w:r>
        <w:rPr>
          <w:rFonts w:hint="eastAsia" w:ascii="Arial" w:hAnsi="Arial"/>
          <w:bCs/>
          <w:szCs w:val="21"/>
        </w:rPr>
        <w:t>“嘉庚号”科考船智能低碳港口船舶岸电系统采购项目</w:t>
      </w:r>
      <w:r>
        <w:rPr>
          <w:rFonts w:hint="eastAsia" w:ascii="Arial" w:hAnsi="Arial"/>
          <w:szCs w:val="21"/>
        </w:rPr>
        <w:t>进行设计、制造、运输、到货后的现场保管、安装、调试、性能考核、试运行、验收及提供相关服务。</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“服务”系指合同规定卖方须承担的设计及设计联络、检验、安装调试、技术协助、验收、质保、培训、指导以及其他类似的义务。</w:t>
      </w:r>
    </w:p>
    <w:p>
      <w:pPr>
        <w:autoSpaceDE w:val="0"/>
        <w:autoSpaceDN w:val="0"/>
        <w:adjustRightInd w:val="0"/>
        <w:snapToGrid w:val="0"/>
        <w:spacing w:line="360" w:lineRule="auto"/>
        <w:ind w:firstLine="420" w:firstLineChars="200"/>
        <w:rPr>
          <w:rFonts w:ascii="Arial" w:hAnsi="Arial"/>
          <w:szCs w:val="21"/>
        </w:rPr>
      </w:pPr>
      <w:r>
        <w:rPr>
          <w:rFonts w:hint="eastAsia" w:ascii="Arial" w:hAnsi="Arial" w:cs="宋体"/>
          <w:kern w:val="0"/>
          <w:szCs w:val="21"/>
        </w:rPr>
        <w:t>“买方”本合同买方</w:t>
      </w:r>
      <w:r>
        <w:rPr>
          <w:rFonts w:hint="eastAsia" w:ascii="Arial" w:hAnsi="Arial"/>
          <w:szCs w:val="21"/>
        </w:rPr>
        <w:t>系指</w:t>
      </w:r>
      <w:r>
        <w:rPr>
          <w:rFonts w:hint="eastAsia" w:ascii="Arial" w:hAnsi="Arial" w:cs="宋体"/>
          <w:kern w:val="0"/>
          <w:szCs w:val="21"/>
        </w:rPr>
        <w:t>厦门启润零碳数字科技有限公司</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“卖方”系指中标后提供合同设备和服务的经济实体。</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“现场”系指</w:t>
      </w:r>
      <w:r>
        <w:rPr>
          <w:rFonts w:hint="eastAsia" w:ascii="Arial" w:hAnsi="Arial"/>
          <w:bCs/>
          <w:szCs w:val="21"/>
        </w:rPr>
        <w:t>“嘉庚号”科考船在厦门的停靠码头泊位</w:t>
      </w:r>
      <w:r>
        <w:rPr>
          <w:rFonts w:hint="eastAsia" w:ascii="Arial" w:hAnsi="Arial" w:cs="宋体"/>
          <w:kern w:val="0"/>
          <w:szCs w:val="21"/>
        </w:rPr>
        <w:t>。</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 xml:space="preserve">“验收”系指买方和买方指派的确定的用户依据技术规格规定接受合同设备所依据的程序和条件。 </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“天”指自然天。</w:t>
      </w:r>
    </w:p>
    <w:p>
      <w:pPr>
        <w:numPr>
          <w:ilvl w:val="0"/>
          <w:numId w:val="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“原产地”系指设备的生产地，或提供辅助服务的来源地。</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适用范围</w:t>
      </w:r>
    </w:p>
    <w:p>
      <w:pPr>
        <w:numPr>
          <w:ilvl w:val="0"/>
          <w:numId w:val="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本条款适用于没有被合同其他部分的条款所取代的范围。</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合同范围</w:t>
      </w:r>
    </w:p>
    <w:p>
      <w:pPr>
        <w:numPr>
          <w:ilvl w:val="0"/>
          <w:numId w:val="9"/>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买方的</w:t>
      </w:r>
      <w:r>
        <w:rPr>
          <w:rFonts w:hint="eastAsia" w:ascii="Arial" w:hAnsi="Arial"/>
          <w:bCs/>
          <w:szCs w:val="21"/>
        </w:rPr>
        <w:t>岸电箱</w:t>
      </w:r>
      <w:r>
        <w:rPr>
          <w:rFonts w:hint="eastAsia" w:ascii="Arial" w:hAnsi="Arial" w:cs="宋体"/>
          <w:kern w:val="0"/>
          <w:szCs w:val="21"/>
        </w:rPr>
        <w:t>同意从卖方处购买且卖方同意向买方提供的招标设备及其附属设备、消耗性材料、专用工具等，包括各项技术服务、技术培训及满足合同设备组装、检验、培训、技术服务、安装、调试、性能测试、正常运行、维修所必需的技术文件及中国船级社出具的认证证书等。</w:t>
      </w:r>
    </w:p>
    <w:p>
      <w:pPr>
        <w:numPr>
          <w:ilvl w:val="0"/>
          <w:numId w:val="9"/>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卖方应负责在工作现场培训买方的技术人员。卖方应对买方技术人员参加的设备验收、设计联络、监造、工厂检验提供方便并负责他们的现场培训。</w:t>
      </w:r>
    </w:p>
    <w:p>
      <w:pPr>
        <w:numPr>
          <w:ilvl w:val="0"/>
          <w:numId w:val="9"/>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确定卖方提供</w:t>
      </w:r>
      <w:r>
        <w:rPr>
          <w:rFonts w:hint="eastAsia" w:ascii="Arial" w:hAnsi="Arial"/>
          <w:bCs/>
          <w:szCs w:val="21"/>
        </w:rPr>
        <w:t>岸电箱</w:t>
      </w:r>
      <w:r>
        <w:rPr>
          <w:rFonts w:hint="eastAsia" w:ascii="Arial" w:hAnsi="Arial" w:cs="宋体"/>
          <w:kern w:val="0"/>
          <w:szCs w:val="21"/>
        </w:rPr>
        <w:t xml:space="preserve">深化设计图纸的时间，并要求提供完整、正确图纸，否则所引起的一切损失由卖方负责。   </w:t>
      </w:r>
    </w:p>
    <w:p>
      <w:pPr>
        <w:numPr>
          <w:ilvl w:val="0"/>
          <w:numId w:val="9"/>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按照买方的要求，卖方应在合同规定的质量保证期内，免费负责修理或更换有缺陷的零部件或整机，同时在合同规定的质量保证期满后，卖方有责任在合同货物的整个使用寿命内，以最优惠的价格，向买方提供合同设备大修和维护等延伸服务，并保证所需的主要配件、备件按不高于投标文件备件清单及相应的单价供货，具体优惠幅度在投标文件内写明。</w:t>
      </w:r>
    </w:p>
    <w:p>
      <w:pPr>
        <w:autoSpaceDE w:val="0"/>
        <w:autoSpaceDN w:val="0"/>
        <w:adjustRightInd w:val="0"/>
        <w:snapToGrid w:val="0"/>
        <w:spacing w:line="360" w:lineRule="auto"/>
        <w:ind w:left="400"/>
        <w:rPr>
          <w:rFonts w:ascii="Arial" w:hAnsi="Arial"/>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技术规格和标准</w:t>
      </w:r>
    </w:p>
    <w:p>
      <w:pPr>
        <w:numPr>
          <w:ilvl w:val="0"/>
          <w:numId w:val="1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本合同项下所供设备的技术规格应与本招标文件技术规格的标准相一致。若技术规格中无相应规定，设备则应符合相应的国际标准化组织和国家有关部门最新颁布的相应的正式标准。</w:t>
      </w:r>
    </w:p>
    <w:p>
      <w:pPr>
        <w:numPr>
          <w:ilvl w:val="0"/>
          <w:numId w:val="1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卖方应向买方提供有关标准的中文文本。</w:t>
      </w:r>
    </w:p>
    <w:p>
      <w:pPr>
        <w:autoSpaceDE w:val="0"/>
        <w:autoSpaceDN w:val="0"/>
        <w:adjustRightInd w:val="0"/>
        <w:snapToGrid w:val="0"/>
        <w:spacing w:line="360" w:lineRule="auto"/>
        <w:ind w:left="342" w:hanging="342" w:hangingChars="163"/>
        <w:rPr>
          <w:rFonts w:ascii="Arial" w:hAnsi="Arial" w:cs="宋体"/>
          <w:kern w:val="0"/>
          <w:szCs w:val="21"/>
        </w:rPr>
      </w:pPr>
      <w:r>
        <w:rPr>
          <w:rFonts w:hint="eastAsia" w:ascii="Arial" w:hAnsi="Arial" w:cs="宋体"/>
          <w:kern w:val="0"/>
          <w:szCs w:val="21"/>
        </w:rPr>
        <w:t xml:space="preserve">   </w:t>
      </w: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周期要求和包装</w:t>
      </w:r>
    </w:p>
    <w:p>
      <w:pPr>
        <w:numPr>
          <w:ilvl w:val="0"/>
          <w:numId w:val="11"/>
        </w:numPr>
        <w:autoSpaceDE w:val="0"/>
        <w:autoSpaceDN w:val="0"/>
        <w:adjustRightInd w:val="0"/>
        <w:snapToGrid w:val="0"/>
        <w:spacing w:line="360" w:lineRule="auto"/>
        <w:ind w:firstLine="420" w:firstLineChars="200"/>
        <w:rPr>
          <w:rFonts w:ascii="Arial" w:hAnsi="Arial" w:cs="宋体"/>
        </w:rPr>
      </w:pPr>
      <w:r>
        <w:rPr>
          <w:rFonts w:hint="eastAsia" w:ascii="Arial" w:hAnsi="Arial" w:cs="Arial"/>
          <w:bCs/>
          <w:szCs w:val="21"/>
        </w:rPr>
        <w:t>工期：</w:t>
      </w:r>
      <w:r>
        <w:rPr>
          <w:rFonts w:hint="eastAsia" w:ascii="Arial" w:hAnsi="Arial" w:cs="Arial"/>
          <w:bCs/>
          <w:szCs w:val="21"/>
          <w:u w:val="single"/>
        </w:rPr>
        <w:t>总工期为</w:t>
      </w:r>
      <w:r>
        <w:rPr>
          <w:rFonts w:ascii="Arial" w:hAnsi="Arial" w:cs="Arial"/>
          <w:bCs/>
          <w:szCs w:val="21"/>
          <w:u w:val="single"/>
        </w:rPr>
        <w:t>6</w:t>
      </w:r>
      <w:r>
        <w:rPr>
          <w:rFonts w:hint="eastAsia" w:ascii="Arial" w:hAnsi="Arial" w:cs="Arial"/>
          <w:bCs/>
          <w:szCs w:val="21"/>
          <w:u w:val="single"/>
        </w:rPr>
        <w:t>0日历天,从合同正式签订后开始计算（或者是接到买方书面通知后开始计算）。货物到达现场后三天后必须开始现场安装，在总工期内完成安装并通过中国船级社检验认证</w:t>
      </w:r>
      <w:r>
        <w:rPr>
          <w:rFonts w:hint="eastAsia" w:ascii="Arial" w:hAnsi="Arial" w:cs="Arial"/>
          <w:bCs/>
          <w:szCs w:val="21"/>
        </w:rPr>
        <w:t>。</w:t>
      </w:r>
    </w:p>
    <w:p>
      <w:pPr>
        <w:numPr>
          <w:ilvl w:val="0"/>
          <w:numId w:val="11"/>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除非本合同另有规定，提供的全部设备须采用相应标准的保护措施进行包装。这种包装应适于长途运输，并有良好的防潮、防震、防锈和防野蛮装卸等保护措施，以确保设备安全运抵现场。卖方应承担由于其包装或其防护措施不妥而引起设备锈蚀、损坏和丢失的任何损失的责任或费用，以及因更换设备或材料而延误工期的后果。</w:t>
      </w:r>
    </w:p>
    <w:p>
      <w:pPr>
        <w:numPr>
          <w:ilvl w:val="0"/>
          <w:numId w:val="11"/>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在包装箱内每件包装应附有装箱清单、产品合格证、检验记录、安装及使用说明书等常规资料(包括配套件资料)一套，其中，装箱单、检验记录、安装及使用说明书各 2份，产品合格证正本 1 份，副本1份。另外一套在安装时直接交于买方。</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运输标记</w:t>
      </w:r>
    </w:p>
    <w:p>
      <w:pPr>
        <w:numPr>
          <w:ilvl w:val="0"/>
          <w:numId w:val="12"/>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卖方应在每一包装箱外用不易褪色的油漆以醒目的中文印刷字体标明以下各项：</w:t>
      </w:r>
    </w:p>
    <w:p>
      <w:pPr>
        <w:numPr>
          <w:ilvl w:val="0"/>
          <w:numId w:val="13"/>
        </w:numPr>
        <w:autoSpaceDE w:val="0"/>
        <w:autoSpaceDN w:val="0"/>
        <w:adjustRightInd w:val="0"/>
        <w:snapToGrid w:val="0"/>
        <w:spacing w:line="360" w:lineRule="auto"/>
        <w:ind w:firstLine="539" w:firstLineChars="257"/>
        <w:rPr>
          <w:rFonts w:ascii="Arial" w:hAnsi="Arial" w:cs="宋体"/>
          <w:kern w:val="0"/>
          <w:szCs w:val="21"/>
        </w:rPr>
      </w:pPr>
      <w:r>
        <w:rPr>
          <w:rFonts w:hint="eastAsia" w:ascii="Arial" w:hAnsi="Arial" w:cs="宋体"/>
          <w:kern w:val="0"/>
          <w:szCs w:val="21"/>
        </w:rPr>
        <w:t>收货人</w:t>
      </w:r>
    </w:p>
    <w:p>
      <w:pPr>
        <w:numPr>
          <w:ilvl w:val="0"/>
          <w:numId w:val="13"/>
        </w:numPr>
        <w:autoSpaceDE w:val="0"/>
        <w:autoSpaceDN w:val="0"/>
        <w:adjustRightInd w:val="0"/>
        <w:snapToGrid w:val="0"/>
        <w:spacing w:line="360" w:lineRule="auto"/>
        <w:ind w:firstLine="539" w:firstLineChars="257"/>
        <w:rPr>
          <w:rFonts w:ascii="Arial" w:hAnsi="Arial"/>
          <w:kern w:val="0"/>
          <w:szCs w:val="21"/>
        </w:rPr>
      </w:pPr>
      <w:r>
        <w:rPr>
          <w:rFonts w:hint="eastAsia" w:ascii="Arial" w:hAnsi="Arial" w:cs="宋体"/>
          <w:kern w:val="0"/>
          <w:szCs w:val="21"/>
        </w:rPr>
        <w:t>合同号</w:t>
      </w:r>
    </w:p>
    <w:p>
      <w:pPr>
        <w:numPr>
          <w:ilvl w:val="0"/>
          <w:numId w:val="13"/>
        </w:numPr>
        <w:autoSpaceDE w:val="0"/>
        <w:autoSpaceDN w:val="0"/>
        <w:adjustRightInd w:val="0"/>
        <w:snapToGrid w:val="0"/>
        <w:spacing w:line="360" w:lineRule="auto"/>
        <w:ind w:firstLine="539" w:firstLineChars="257"/>
        <w:rPr>
          <w:rFonts w:ascii="Arial" w:hAnsi="Arial"/>
          <w:kern w:val="0"/>
          <w:szCs w:val="21"/>
        </w:rPr>
      </w:pPr>
      <w:r>
        <w:rPr>
          <w:rFonts w:hint="eastAsia" w:ascii="Arial" w:hAnsi="Arial" w:cs="宋体"/>
          <w:kern w:val="0"/>
          <w:szCs w:val="21"/>
        </w:rPr>
        <w:t>目的站</w:t>
      </w:r>
    </w:p>
    <w:p>
      <w:pPr>
        <w:numPr>
          <w:ilvl w:val="0"/>
          <w:numId w:val="13"/>
        </w:numPr>
        <w:autoSpaceDE w:val="0"/>
        <w:autoSpaceDN w:val="0"/>
        <w:adjustRightInd w:val="0"/>
        <w:snapToGrid w:val="0"/>
        <w:spacing w:line="360" w:lineRule="auto"/>
        <w:ind w:firstLine="539" w:firstLineChars="257"/>
        <w:rPr>
          <w:rFonts w:ascii="Arial" w:hAnsi="Arial" w:cs="宋体"/>
          <w:kern w:val="0"/>
          <w:szCs w:val="21"/>
        </w:rPr>
      </w:pPr>
      <w:r>
        <w:rPr>
          <w:rFonts w:hint="eastAsia" w:ascii="Arial" w:hAnsi="Arial" w:cs="宋体"/>
          <w:kern w:val="0"/>
          <w:szCs w:val="21"/>
        </w:rPr>
        <w:t>设备名称、箱号</w:t>
      </w:r>
    </w:p>
    <w:p>
      <w:pPr>
        <w:numPr>
          <w:ilvl w:val="0"/>
          <w:numId w:val="13"/>
        </w:numPr>
        <w:autoSpaceDE w:val="0"/>
        <w:autoSpaceDN w:val="0"/>
        <w:adjustRightInd w:val="0"/>
        <w:snapToGrid w:val="0"/>
        <w:spacing w:line="360" w:lineRule="auto"/>
        <w:ind w:firstLine="539" w:firstLineChars="257"/>
        <w:rPr>
          <w:rFonts w:ascii="Arial" w:hAnsi="Arial" w:cs="宋体"/>
          <w:kern w:val="0"/>
          <w:szCs w:val="21"/>
        </w:rPr>
      </w:pPr>
      <w:r>
        <w:rPr>
          <w:rFonts w:hint="eastAsia" w:ascii="Arial" w:hAnsi="Arial" w:cs="宋体"/>
          <w:kern w:val="0"/>
          <w:szCs w:val="21"/>
        </w:rPr>
        <w:t>毛重／净重(公斤)</w:t>
      </w:r>
    </w:p>
    <w:p>
      <w:pPr>
        <w:numPr>
          <w:ilvl w:val="0"/>
          <w:numId w:val="13"/>
        </w:numPr>
        <w:autoSpaceDE w:val="0"/>
        <w:autoSpaceDN w:val="0"/>
        <w:adjustRightInd w:val="0"/>
        <w:snapToGrid w:val="0"/>
        <w:spacing w:line="360" w:lineRule="auto"/>
        <w:ind w:firstLine="539" w:firstLineChars="257"/>
        <w:rPr>
          <w:rFonts w:ascii="Arial" w:hAnsi="Arial" w:cs="宋体"/>
          <w:kern w:val="0"/>
          <w:szCs w:val="21"/>
        </w:rPr>
      </w:pPr>
      <w:r>
        <w:rPr>
          <w:rFonts w:hint="eastAsia" w:ascii="Arial" w:hAnsi="Arial" w:cs="宋体"/>
          <w:kern w:val="0"/>
          <w:szCs w:val="21"/>
        </w:rPr>
        <w:t>尺寸（长×宽×高，以厘米计）</w:t>
      </w:r>
    </w:p>
    <w:p>
      <w:pPr>
        <w:numPr>
          <w:ilvl w:val="0"/>
          <w:numId w:val="13"/>
        </w:numPr>
        <w:autoSpaceDE w:val="0"/>
        <w:autoSpaceDN w:val="0"/>
        <w:adjustRightInd w:val="0"/>
        <w:snapToGrid w:val="0"/>
        <w:spacing w:line="360" w:lineRule="auto"/>
        <w:ind w:firstLine="539" w:firstLineChars="257"/>
        <w:rPr>
          <w:rFonts w:ascii="Arial" w:hAnsi="Arial" w:cs="宋体"/>
          <w:kern w:val="0"/>
          <w:szCs w:val="21"/>
        </w:rPr>
      </w:pPr>
      <w:r>
        <w:rPr>
          <w:rFonts w:hint="eastAsia" w:ascii="Arial" w:hAnsi="Arial" w:cs="宋体"/>
          <w:kern w:val="0"/>
          <w:szCs w:val="21"/>
        </w:rPr>
        <w:t>发货标记</w:t>
      </w:r>
    </w:p>
    <w:p>
      <w:pPr>
        <w:numPr>
          <w:ilvl w:val="0"/>
          <w:numId w:val="1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凡重达两吨以上的包装，卖方应在每件包装箱的两侧用中文，以国际或国内贸易相宜的运输标志标明“重心”和“吊装点”，并根据设备的特点和运输的不同要求，以清晰字样在包装箱上注明“小心轻放”、“勿倒置”、“防潮”等适当的贸易标志，以方便装卸和搬运。</w:t>
      </w:r>
    </w:p>
    <w:p>
      <w:pPr>
        <w:autoSpaceDE w:val="0"/>
        <w:autoSpaceDN w:val="0"/>
        <w:adjustRightInd w:val="0"/>
        <w:snapToGrid w:val="0"/>
        <w:spacing w:line="360" w:lineRule="auto"/>
        <w:ind w:left="359" w:hanging="359" w:hangingChars="171"/>
        <w:rPr>
          <w:rFonts w:ascii="Arial" w:hAnsi="Arial"/>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装运通知及条件</w:t>
      </w:r>
    </w:p>
    <w:p>
      <w:pPr>
        <w:numPr>
          <w:ilvl w:val="0"/>
          <w:numId w:val="14"/>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在设备装车完成12小时内以书面通知买方合同号、设备名称、数量、毛重、体积(立方米)、载运车名、车号和启运日期。如果包装件重量超过20吨或尺寸达到或超过12米长、2．7米宽和3米高，卖方应将其重量和尺寸通知买方。本设备中不允许夹带有易燃品或危险品。</w:t>
      </w:r>
    </w:p>
    <w:p>
      <w:pPr>
        <w:numPr>
          <w:ilvl w:val="0"/>
          <w:numId w:val="14"/>
        </w:numPr>
        <w:autoSpaceDE w:val="0"/>
        <w:autoSpaceDN w:val="0"/>
        <w:adjustRightInd w:val="0"/>
        <w:snapToGrid w:val="0"/>
        <w:spacing w:line="360" w:lineRule="auto"/>
        <w:rPr>
          <w:rFonts w:ascii="Arial" w:hAnsi="Arial"/>
        </w:rPr>
      </w:pPr>
      <w:r>
        <w:rPr>
          <w:rFonts w:hint="eastAsia" w:ascii="Arial" w:hAnsi="Arial" w:cs="宋体"/>
          <w:kern w:val="0"/>
          <w:szCs w:val="21"/>
        </w:rPr>
        <w:t>在交货价合同条件下，由于卖方延误了以传真通知买方上述内容而使买方未能按期接货，由此而造成的一切损失由卖方承担。</w:t>
      </w:r>
    </w:p>
    <w:p>
      <w:pPr>
        <w:pStyle w:val="61"/>
        <w:autoSpaceDE w:val="0"/>
        <w:autoSpaceDN w:val="0"/>
        <w:snapToGrid w:val="0"/>
        <w:spacing w:line="360" w:lineRule="auto"/>
        <w:textAlignment w:val="auto"/>
        <w:rPr>
          <w:rFonts w:ascii="Arial" w:hAnsi="Arial" w:cs="宋体"/>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交货条件</w:t>
      </w:r>
    </w:p>
    <w:p>
      <w:pPr>
        <w:numPr>
          <w:ilvl w:val="0"/>
          <w:numId w:val="15"/>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应在合同规定的货物装完起运后以传真或特快专递通知买方和保险公司全部装运细节，包括合同号、设备名称、数量、包装件数、总毛重、总体积(立方米)、运输工具名称、装运口岸、启运日期、提单号码及日期和备妥待运日期。同时，卖方应以以传真或特快专递寄给买方详细交货清单一份，包括合同号、设备名称、规格、数量、总毛重、总体积(立方米)和每一包装箱的尺寸（长×宽×高）、单价和总价、备妥待运日期，以及材料、设备在运输和仓储中的特殊要求和注意事项。</w:t>
      </w:r>
    </w:p>
    <w:p>
      <w:pPr>
        <w:numPr>
          <w:ilvl w:val="0"/>
          <w:numId w:val="15"/>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合同要求由卖方按买方要求负责装卸运输至指定地点，费用含在合同价中。</w:t>
      </w:r>
    </w:p>
    <w:p>
      <w:pPr>
        <w:numPr>
          <w:ilvl w:val="0"/>
          <w:numId w:val="15"/>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卖方发运的设备、材料必须符合合同规定的设备、材料名称、型号规格、数量或重量以及技术性能参数指标，否则，一切责任均由卖方承担。</w:t>
      </w:r>
    </w:p>
    <w:p>
      <w:pPr>
        <w:numPr>
          <w:ilvl w:val="0"/>
          <w:numId w:val="15"/>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卖方须派遣人员在每批材料、设备到货时至到货现场负责卸货。</w:t>
      </w:r>
    </w:p>
    <w:p>
      <w:pPr>
        <w:numPr>
          <w:ilvl w:val="0"/>
          <w:numId w:val="15"/>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现场所有设备及材料由卖方自行负责保管。</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付款条件</w:t>
      </w:r>
    </w:p>
    <w:p>
      <w:pPr>
        <w:numPr>
          <w:ilvl w:val="0"/>
          <w:numId w:val="16"/>
        </w:numPr>
        <w:snapToGrid w:val="0"/>
        <w:spacing w:line="360" w:lineRule="auto"/>
        <w:rPr>
          <w:rFonts w:ascii="Arial" w:hAnsi="Arial"/>
        </w:rPr>
      </w:pPr>
      <w:r>
        <w:rPr>
          <w:rFonts w:hint="eastAsia" w:ascii="Arial" w:hAnsi="Arial"/>
        </w:rPr>
        <w:t>本合同规定的合同总价，由买方按下列方式和比例向卖方支付：</w:t>
      </w:r>
    </w:p>
    <w:p>
      <w:pPr>
        <w:numPr>
          <w:ilvl w:val="0"/>
          <w:numId w:val="17"/>
        </w:numPr>
        <w:snapToGrid w:val="0"/>
        <w:spacing w:line="360" w:lineRule="auto"/>
        <w:ind w:firstLine="420" w:firstLineChars="200"/>
        <w:rPr>
          <w:rFonts w:ascii="Arial" w:hAnsi="Arial" w:cs="宋体"/>
          <w:szCs w:val="21"/>
          <w:u w:val="single"/>
        </w:rPr>
      </w:pPr>
      <w:r>
        <w:rPr>
          <w:rFonts w:hint="eastAsia" w:ascii="Arial" w:hAnsi="Arial" w:cs="宋体"/>
          <w:szCs w:val="21"/>
          <w:u w:val="single"/>
        </w:rPr>
        <w:t>签订合同</w:t>
      </w:r>
      <w:r>
        <w:rPr>
          <w:rFonts w:ascii="Arial" w:hAnsi="Arial" w:cs="宋体"/>
          <w:szCs w:val="21"/>
          <w:u w:val="single"/>
        </w:rPr>
        <w:t>5</w:t>
      </w:r>
      <w:r>
        <w:rPr>
          <w:rFonts w:hint="eastAsia" w:ascii="Arial" w:hAnsi="Arial" w:cs="宋体"/>
          <w:szCs w:val="21"/>
          <w:u w:val="single"/>
        </w:rPr>
        <w:t>个工作日内，买方支付合同价款的3</w:t>
      </w:r>
      <w:r>
        <w:rPr>
          <w:rFonts w:ascii="Arial" w:hAnsi="Arial" w:cs="宋体"/>
          <w:szCs w:val="21"/>
          <w:u w:val="single"/>
        </w:rPr>
        <w:t>0</w:t>
      </w:r>
      <w:r>
        <w:rPr>
          <w:rFonts w:hint="eastAsia" w:ascii="Arial" w:hAnsi="Arial" w:cs="宋体"/>
          <w:szCs w:val="21"/>
          <w:u w:val="single"/>
        </w:rPr>
        <w:t xml:space="preserve">%的项目预付款，即人民币 </w:t>
      </w:r>
      <w:r>
        <w:rPr>
          <w:rFonts w:ascii="Arial" w:hAnsi="Arial" w:cs="宋体"/>
          <w:szCs w:val="21"/>
          <w:u w:val="single"/>
        </w:rPr>
        <w:t xml:space="preserve">      </w:t>
      </w:r>
      <w:r>
        <w:rPr>
          <w:rFonts w:hint="eastAsia" w:ascii="Arial" w:hAnsi="Arial" w:cs="宋体"/>
          <w:szCs w:val="21"/>
          <w:u w:val="single"/>
        </w:rPr>
        <w:t>元（￥xxxx.00）</w:t>
      </w:r>
    </w:p>
    <w:p>
      <w:pPr>
        <w:numPr>
          <w:ilvl w:val="0"/>
          <w:numId w:val="17"/>
        </w:numPr>
        <w:snapToGrid w:val="0"/>
        <w:spacing w:line="360" w:lineRule="auto"/>
        <w:ind w:firstLine="420" w:firstLineChars="200"/>
      </w:pPr>
      <w:r>
        <w:rPr>
          <w:rFonts w:hint="eastAsia" w:ascii="Arial" w:hAnsi="Arial" w:cs="宋体"/>
          <w:szCs w:val="21"/>
          <w:u w:val="single"/>
        </w:rPr>
        <w:t>合同货物全部送达现场，经买方开箱验收清点确认出具到货验收单给卖方，支付合同价款的</w:t>
      </w:r>
      <w:r>
        <w:rPr>
          <w:rFonts w:ascii="Arial" w:hAnsi="Arial" w:cs="宋体"/>
          <w:szCs w:val="21"/>
          <w:u w:val="single"/>
        </w:rPr>
        <w:t>30</w:t>
      </w:r>
      <w:r>
        <w:rPr>
          <w:rFonts w:hint="eastAsia" w:ascii="Arial" w:hAnsi="Arial" w:cs="宋体"/>
          <w:szCs w:val="21"/>
          <w:u w:val="single"/>
        </w:rPr>
        <w:t xml:space="preserve">%的款项，即人民币 </w:t>
      </w:r>
      <w:r>
        <w:rPr>
          <w:rFonts w:ascii="Arial" w:hAnsi="Arial" w:cs="宋体"/>
          <w:szCs w:val="21"/>
          <w:u w:val="single"/>
        </w:rPr>
        <w:t xml:space="preserve">      </w:t>
      </w:r>
      <w:r>
        <w:rPr>
          <w:rFonts w:hint="eastAsia" w:ascii="Arial" w:hAnsi="Arial" w:cs="宋体"/>
          <w:szCs w:val="21"/>
          <w:u w:val="single"/>
        </w:rPr>
        <w:t>元（￥xxxx.00）；</w:t>
      </w:r>
    </w:p>
    <w:p>
      <w:pPr>
        <w:numPr>
          <w:ilvl w:val="0"/>
          <w:numId w:val="17"/>
        </w:numPr>
        <w:snapToGrid w:val="0"/>
        <w:spacing w:line="360" w:lineRule="auto"/>
        <w:ind w:firstLine="420" w:firstLineChars="200"/>
        <w:rPr>
          <w:rFonts w:ascii="Arial" w:hAnsi="Arial"/>
          <w:u w:val="single"/>
        </w:rPr>
      </w:pPr>
      <w:r>
        <w:rPr>
          <w:rFonts w:hint="eastAsia" w:ascii="Arial" w:hAnsi="Arial" w:cs="宋体"/>
          <w:szCs w:val="21"/>
          <w:u w:val="single"/>
        </w:rPr>
        <w:t>项目整体验收后，支付至合同价款的9</w:t>
      </w:r>
      <w:r>
        <w:rPr>
          <w:rFonts w:ascii="Arial" w:hAnsi="Arial" w:cs="宋体"/>
          <w:szCs w:val="21"/>
          <w:u w:val="single"/>
        </w:rPr>
        <w:t>5</w:t>
      </w:r>
      <w:r>
        <w:rPr>
          <w:rFonts w:hint="eastAsia" w:ascii="Arial" w:hAnsi="Arial" w:cs="宋体"/>
          <w:szCs w:val="21"/>
          <w:u w:val="single"/>
        </w:rPr>
        <w:t>%，剩余</w:t>
      </w:r>
      <w:r>
        <w:rPr>
          <w:rFonts w:ascii="Arial" w:hAnsi="Arial" w:cs="宋体"/>
          <w:szCs w:val="21"/>
          <w:u w:val="single"/>
        </w:rPr>
        <w:t>5</w:t>
      </w:r>
      <w:r>
        <w:rPr>
          <w:rFonts w:hint="eastAsia" w:ascii="Arial" w:hAnsi="Arial" w:cs="宋体"/>
          <w:szCs w:val="21"/>
          <w:u w:val="single"/>
        </w:rPr>
        <w:t>%待</w:t>
      </w:r>
      <w:r>
        <w:rPr>
          <w:rFonts w:hint="eastAsia" w:ascii="Arial" w:hAnsi="Arial"/>
          <w:u w:val="single"/>
        </w:rPr>
        <w:t>质保期结束后付清。</w:t>
      </w:r>
    </w:p>
    <w:p>
      <w:pPr>
        <w:snapToGrid w:val="0"/>
        <w:spacing w:line="360" w:lineRule="auto"/>
        <w:ind w:firstLine="420" w:firstLineChars="200"/>
        <w:rPr>
          <w:rFonts w:ascii="Arial" w:hAnsi="Arial"/>
          <w:u w:val="single"/>
        </w:rPr>
      </w:pPr>
      <w:r>
        <w:rPr>
          <w:rFonts w:hint="eastAsia" w:ascii="Arial" w:hAnsi="Arial" w:cs="宋体"/>
          <w:szCs w:val="21"/>
          <w:u w:val="single"/>
        </w:rPr>
        <w:t>注：买方每次向卖方支付货款前，卖方应向买方开具同等金额的增值税专用发票。</w:t>
      </w:r>
    </w:p>
    <w:p>
      <w:pPr>
        <w:numPr>
          <w:ilvl w:val="0"/>
          <w:numId w:val="16"/>
        </w:numPr>
        <w:snapToGrid w:val="0"/>
        <w:spacing w:line="360" w:lineRule="auto"/>
        <w:rPr>
          <w:rFonts w:ascii="Arial" w:hAnsi="Arial"/>
        </w:rPr>
      </w:pPr>
      <w:r>
        <w:rPr>
          <w:rFonts w:hint="eastAsia" w:ascii="Arial" w:hAnsi="Arial"/>
        </w:rPr>
        <w:t>如果卖方需按合同中的规定支付违约金或给予赔偿时，买方有权从上述任何一项付款金额中扣除。</w:t>
      </w:r>
      <w:bookmarkStart w:id="85" w:name="_GoBack"/>
      <w:bookmarkEnd w:id="85"/>
    </w:p>
    <w:p>
      <w:pPr>
        <w:numPr>
          <w:ilvl w:val="0"/>
          <w:numId w:val="16"/>
        </w:numPr>
        <w:snapToGrid w:val="0"/>
        <w:spacing w:line="360" w:lineRule="auto"/>
        <w:rPr>
          <w:rFonts w:ascii="Arial" w:hAnsi="Arial"/>
        </w:rPr>
      </w:pPr>
      <w:r>
        <w:rPr>
          <w:rFonts w:hint="eastAsia" w:ascii="Arial" w:hAnsi="Arial"/>
        </w:rPr>
        <w:t>项目验收合格后，项目进入质保期，</w:t>
      </w:r>
      <w:r>
        <w:rPr>
          <w:rFonts w:hint="eastAsia" w:ascii="Arial" w:hAnsi="Arial" w:cs="宋体"/>
          <w:szCs w:val="21"/>
          <w:highlight w:val="yellow"/>
        </w:rPr>
        <w:t>质保期为</w:t>
      </w:r>
      <w:r>
        <w:rPr>
          <w:rFonts w:hint="eastAsia" w:ascii="Arial" w:hAnsi="Arial" w:cs="宋体"/>
          <w:szCs w:val="21"/>
          <w:highlight w:val="yellow"/>
          <w:lang w:val="en-US" w:eastAsia="zh-CN"/>
        </w:rPr>
        <w:t>三</w:t>
      </w:r>
      <w:r>
        <w:rPr>
          <w:rFonts w:hint="eastAsia" w:ascii="Arial" w:hAnsi="Arial" w:cs="宋体"/>
          <w:szCs w:val="21"/>
          <w:highlight w:val="yellow"/>
        </w:rPr>
        <w:t>年。卖方仅对设备及工程质量进行质保，因人为破坏、转场运输及不可抗力造成的设备损坏不予负责</w:t>
      </w:r>
      <w:r>
        <w:rPr>
          <w:rFonts w:hint="eastAsia" w:ascii="Arial" w:hAnsi="Arial" w:cs="宋体"/>
          <w:szCs w:val="21"/>
        </w:rPr>
        <w:t>。</w:t>
      </w:r>
    </w:p>
    <w:p>
      <w:pPr>
        <w:autoSpaceDE w:val="0"/>
        <w:autoSpaceDN w:val="0"/>
        <w:adjustRightInd w:val="0"/>
        <w:snapToGrid w:val="0"/>
        <w:spacing w:line="360" w:lineRule="auto"/>
        <w:rPr>
          <w:rFonts w:ascii="Arial" w:hAnsi="Arial"/>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技术资料</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除招标文件的技术规格书中另有规定外，卖方应准备在技术条款中规定的与合同设备或仪器相符的中文技术资料，并于合同生效后随设备送到买方，例如：样本、图纸、操作手册、使用说明、维修指南或服务手册等。如本条款所述资料寄送不完整或丢失，卖方应在收到买方通知后立即免费另寄。</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履行合同过程中买方所编纂或准备的报告、全部有关资料以及其它辅助记录或材料将都是买方的绝对财产，没有买方事先书面同意，卖方不得将这部分财产以及由买方提供的有关合同或任何合同条文、规格、计划、图纸、模型、样品或资料提供给卖方雇用于履行本合同以外的任何其他人。即使向本合同的雇员提供，也应注意保密并限于履行合同必须的范围。</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卖方保证不将买方提交的资料转让给任何第三方，除非第三方介入货物的设计、安装和运行，并将有关资料仅用于这些目的。</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没有买方事先书面同意，除了履行本合同之外，卖方不应使用本合同条款第10</w:t>
      </w:r>
      <w:r>
        <w:rPr>
          <w:rFonts w:ascii="Arial" w:hAnsi="Arial" w:cs="宋体"/>
          <w:kern w:val="0"/>
          <w:szCs w:val="21"/>
        </w:rPr>
        <w:t>.</w:t>
      </w:r>
      <w:r>
        <w:rPr>
          <w:rFonts w:hint="eastAsia" w:ascii="Arial" w:hAnsi="Arial" w:cs="宋体"/>
          <w:kern w:val="0"/>
          <w:szCs w:val="21"/>
        </w:rPr>
        <w:t>2条所列举的任何文件和资料。</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除了合同本身以外，本合同条款第10</w:t>
      </w:r>
      <w:r>
        <w:rPr>
          <w:rFonts w:ascii="Arial" w:hAnsi="Arial" w:cs="宋体"/>
          <w:kern w:val="0"/>
          <w:szCs w:val="21"/>
        </w:rPr>
        <w:t>.</w:t>
      </w:r>
      <w:r>
        <w:rPr>
          <w:rFonts w:hint="eastAsia" w:ascii="Arial" w:hAnsi="Arial" w:cs="宋体"/>
          <w:kern w:val="0"/>
          <w:szCs w:val="21"/>
        </w:rPr>
        <w:t>2条所列举的任何文件是买方的财产。如果买方有要求，卖方在完成合同后应将这些文件（全部拷贝）还给买方，卖方不得继续留存任何文件原件或副本。</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卖方应根据招标文件技术规格书的规定要求向买方提供所有技术文件。如果项目必须但合同又未作规定的技术文件，卖方应及时向买方提供。</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上述技术文件应编辑正确，组织合理，内容充实，容易理解。</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技术文件均应按“技术规格书”要求提交并经买方确认。</w:t>
      </w:r>
    </w:p>
    <w:p>
      <w:pPr>
        <w:numPr>
          <w:ilvl w:val="0"/>
          <w:numId w:val="1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卖方应承担买方完全按照技术文件的指导进行工作而导致损失的责任。</w:t>
      </w:r>
    </w:p>
    <w:p>
      <w:pPr>
        <w:numPr>
          <w:ilvl w:val="0"/>
          <w:numId w:val="18"/>
        </w:numPr>
        <w:autoSpaceDE w:val="0"/>
        <w:autoSpaceDN w:val="0"/>
        <w:adjustRightInd w:val="0"/>
        <w:snapToGrid w:val="0"/>
        <w:spacing w:line="360" w:lineRule="auto"/>
        <w:rPr>
          <w:rFonts w:ascii="Arial" w:hAnsi="Arial" w:cs="宋体"/>
          <w:szCs w:val="21"/>
        </w:rPr>
      </w:pPr>
      <w:r>
        <w:rPr>
          <w:rFonts w:hint="eastAsia" w:ascii="Arial" w:hAnsi="Arial" w:cs="宋体"/>
          <w:kern w:val="0"/>
          <w:szCs w:val="21"/>
        </w:rPr>
        <w:t>技术文件的全部费用已包含在合同价中。</w:t>
      </w:r>
    </w:p>
    <w:p>
      <w:pPr>
        <w:numPr>
          <w:ilvl w:val="0"/>
          <w:numId w:val="18"/>
        </w:numPr>
        <w:autoSpaceDE w:val="0"/>
        <w:autoSpaceDN w:val="0"/>
        <w:adjustRightInd w:val="0"/>
        <w:snapToGrid w:val="0"/>
        <w:spacing w:line="360" w:lineRule="auto"/>
        <w:rPr>
          <w:rFonts w:ascii="Arial" w:hAnsi="Arial" w:cs="宋体"/>
          <w:szCs w:val="21"/>
        </w:rPr>
      </w:pPr>
      <w:r>
        <w:rPr>
          <w:rFonts w:hint="eastAsia" w:ascii="Arial" w:hAnsi="Arial" w:cs="宋体"/>
          <w:szCs w:val="21"/>
        </w:rPr>
        <w:t>卖方提供的设备和技术资料不能侵害他人的知识产权及其他合法权益，如因此造成侵权行为的法律后果由卖方承担；如按照买方提供的设计生产产品，其中有涉及他人知识产权及其他合法权益的，卖方应在生产前给予善意的提醒及修改建议。</w:t>
      </w:r>
    </w:p>
    <w:p>
      <w:pPr>
        <w:pStyle w:val="61"/>
        <w:autoSpaceDE w:val="0"/>
        <w:autoSpaceDN w:val="0"/>
        <w:snapToGrid w:val="0"/>
        <w:spacing w:line="360" w:lineRule="auto"/>
        <w:textAlignment w:val="auto"/>
        <w:rPr>
          <w:rFonts w:ascii="Arial" w:hAnsi="Arial"/>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价格</w:t>
      </w:r>
    </w:p>
    <w:p>
      <w:pPr>
        <w:numPr>
          <w:ilvl w:val="0"/>
          <w:numId w:val="19"/>
        </w:numPr>
        <w:autoSpaceDE w:val="0"/>
        <w:autoSpaceDN w:val="0"/>
        <w:adjustRightInd w:val="0"/>
        <w:snapToGrid w:val="0"/>
        <w:spacing w:line="360" w:lineRule="auto"/>
        <w:rPr>
          <w:rFonts w:ascii="Arial" w:hAnsi="Arial"/>
          <w:szCs w:val="21"/>
        </w:rPr>
      </w:pPr>
      <w:r>
        <w:rPr>
          <w:rFonts w:hint="eastAsia" w:ascii="Arial" w:hAnsi="Arial" w:cs="宋体"/>
          <w:kern w:val="0"/>
          <w:szCs w:val="21"/>
        </w:rPr>
        <w:t xml:space="preserve"> </w:t>
      </w:r>
      <w:r>
        <w:rPr>
          <w:rFonts w:ascii="Arial" w:hAnsi="Arial"/>
          <w:szCs w:val="21"/>
        </w:rPr>
        <w:t>本项目为交钥匙工程，</w:t>
      </w:r>
      <w:r>
        <w:rPr>
          <w:rFonts w:hint="eastAsia" w:ascii="Arial" w:hAnsi="Arial" w:cs="宋体"/>
          <w:kern w:val="0"/>
          <w:szCs w:val="21"/>
        </w:rPr>
        <w:t>卖方履行合同所必须的所有费用，包括但不限于</w:t>
      </w:r>
      <w:r>
        <w:rPr>
          <w:rFonts w:hint="eastAsia" w:ascii="Arial" w:hAnsi="Arial" w:cs="宋体"/>
          <w:bCs/>
          <w:szCs w:val="21"/>
        </w:rPr>
        <w:t>现场踏勘、设计、外购、配套件、原材料及生产制造、油漆、包装、保险、税费（进口部分还要包括关税、商检、手续费等）、相关手续费、管理、运杂、装卸车、安装调试（包括线管、电缆等）、系统集成、培训指导、配合、中国船级社认证、验收、图纸资料、软件、技术服务、售后服务及质保等达到买方业务需求的一切全部费用。</w:t>
      </w:r>
      <w:r>
        <w:rPr>
          <w:rFonts w:hint="eastAsia" w:ascii="Arial" w:hAnsi="Arial" w:cs="宋体"/>
          <w:kern w:val="0"/>
          <w:szCs w:val="21"/>
        </w:rPr>
        <w:t>本合同项下不另计卖方人员的加班费，有关费用已包含在合同价格中。</w:t>
      </w:r>
    </w:p>
    <w:p>
      <w:pPr>
        <w:numPr>
          <w:ilvl w:val="0"/>
          <w:numId w:val="19"/>
        </w:numPr>
        <w:autoSpaceDE w:val="0"/>
        <w:autoSpaceDN w:val="0"/>
        <w:adjustRightInd w:val="0"/>
        <w:snapToGrid w:val="0"/>
        <w:spacing w:line="360" w:lineRule="auto"/>
        <w:rPr>
          <w:rFonts w:ascii="Arial" w:hAnsi="Arial"/>
          <w:szCs w:val="21"/>
        </w:rPr>
      </w:pPr>
      <w:r>
        <w:rPr>
          <w:rFonts w:hint="eastAsia" w:ascii="Arial" w:hAnsi="Arial" w:cs="宋体"/>
          <w:kern w:val="0"/>
          <w:szCs w:val="21"/>
        </w:rPr>
        <w:t>卖方</w:t>
      </w:r>
      <w:r>
        <w:rPr>
          <w:rFonts w:hint="eastAsia" w:ascii="Arial" w:hAnsi="Arial"/>
          <w:szCs w:val="21"/>
        </w:rPr>
        <w:t>提供招标范围内所有测试及试运行等</w:t>
      </w:r>
      <w:r>
        <w:rPr>
          <w:rFonts w:ascii="Arial" w:hAnsi="Arial"/>
          <w:szCs w:val="21"/>
        </w:rPr>
        <w:t>所需材料、工具、仪器</w:t>
      </w:r>
      <w:r>
        <w:rPr>
          <w:rFonts w:hint="eastAsia" w:ascii="Arial" w:hAnsi="Arial"/>
          <w:szCs w:val="21"/>
        </w:rPr>
        <w:t>等。</w:t>
      </w:r>
    </w:p>
    <w:p>
      <w:pPr>
        <w:numPr>
          <w:ilvl w:val="0"/>
          <w:numId w:val="19"/>
        </w:numPr>
        <w:autoSpaceDE w:val="0"/>
        <w:autoSpaceDN w:val="0"/>
        <w:adjustRightInd w:val="0"/>
        <w:snapToGrid w:val="0"/>
        <w:spacing w:line="360" w:lineRule="auto"/>
        <w:rPr>
          <w:rFonts w:ascii="Arial" w:hAnsi="Arial" w:cs="宋体"/>
          <w:kern w:val="0"/>
          <w:szCs w:val="21"/>
        </w:rPr>
      </w:pPr>
      <w:r>
        <w:rPr>
          <w:rFonts w:hint="eastAsia" w:ascii="Arial" w:hAnsi="Arial"/>
          <w:szCs w:val="21"/>
        </w:rPr>
        <w:t>买方需提供的供货范围不仅限于设备清单（详见附件1-供货清单），以满足现场安装和运行需求为准。</w:t>
      </w: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质量保证</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保证其提供的设备是全新的、未使用过的、采用的是最佳材料和第一流的工艺，并在各个方面符合合同规定的质量、规格和性能要求。卖方应在保证其设备经过正确安装、合理操作和维护保养，在设备寿命期内运转良好。</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质量保证期为卖方承诺的时限，卖方承诺对所有设备提供</w:t>
      </w:r>
      <w:r>
        <w:rPr>
          <w:rFonts w:hint="eastAsia" w:ascii="Arial" w:hAnsi="Arial" w:cs="宋体"/>
          <w:b/>
          <w:bCs/>
          <w:kern w:val="0"/>
          <w:szCs w:val="21"/>
          <w:highlight w:val="yellow"/>
          <w:lang w:val="en-US" w:eastAsia="zh-CN"/>
        </w:rPr>
        <w:t>三</w:t>
      </w:r>
      <w:r>
        <w:rPr>
          <w:rFonts w:hint="eastAsia" w:ascii="Arial" w:hAnsi="Arial" w:cs="宋体"/>
          <w:b/>
          <w:bCs/>
          <w:kern w:val="0"/>
          <w:szCs w:val="21"/>
          <w:highlight w:val="yellow"/>
        </w:rPr>
        <w:t>年</w:t>
      </w:r>
      <w:r>
        <w:rPr>
          <w:rFonts w:hint="eastAsia" w:ascii="Arial" w:hAnsi="Arial" w:cs="宋体"/>
          <w:kern w:val="0"/>
          <w:szCs w:val="21"/>
        </w:rPr>
        <w:t>免费保修，并提供终身技术支持及设备维修。</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卖方进一步保证，合同项下提供的全部货物没有设计、材料或工艺上的任何缺陷。卖方对由于设计、制造、工艺或材料的缺陷而造成的任何缺陷或故障负责。</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保证合同项下的设备和材料在正常操作情况下不会因卖方在设计和制造过程中的缺陷、错误或材料选用及制造工艺上的缺陷而产生故障。若由于设备和材料在设计制造工艺上的缺陷（包括潜在缺陷）而导致安全事故，造成所有买方的损失应由卖方赔偿。</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除合同中另有规定外，出现上述情况，在质保期内，</w:t>
      </w:r>
      <w:r>
        <w:rPr>
          <w:rFonts w:hint="eastAsia" w:ascii="Arial" w:hAnsi="Arial" w:cs="宋体"/>
          <w:bCs/>
          <w:kern w:val="0"/>
        </w:rPr>
        <w:t>维修人员需在接到维修电话后</w:t>
      </w:r>
      <w:r>
        <w:rPr>
          <w:rFonts w:hint="eastAsia" w:ascii="Arial" w:hAnsi="Arial" w:cs="宋体"/>
          <w:kern w:val="0"/>
          <w:szCs w:val="21"/>
        </w:rPr>
        <w:t>，卖方在 1小时内作出电话回应，12 小时内到现场</w:t>
      </w:r>
      <w:r>
        <w:rPr>
          <w:rFonts w:hint="eastAsia" w:ascii="Arial" w:hAnsi="Arial" w:cs="宋体"/>
          <w:bCs/>
          <w:kern w:val="0"/>
        </w:rPr>
        <w:t>提供不间断的服务直到结束，由卖方无偿修理、更换（包括更换零部件甚至整机），直至恢复（达到）合同规定的质量和性能参数要求。因卖方原因导致的故障停机累计超过10天，则保质期顺延相同的时间并赔偿买方相应的停机损失。</w:t>
      </w:r>
    </w:p>
    <w:p>
      <w:pPr>
        <w:numPr>
          <w:ilvl w:val="0"/>
          <w:numId w:val="20"/>
        </w:numPr>
        <w:autoSpaceDE w:val="0"/>
        <w:autoSpaceDN w:val="0"/>
        <w:adjustRightInd w:val="0"/>
        <w:snapToGrid w:val="0"/>
        <w:spacing w:line="360" w:lineRule="auto"/>
        <w:rPr>
          <w:rFonts w:ascii="Arial" w:hAnsi="Arial" w:cs="宋体"/>
          <w:szCs w:val="21"/>
        </w:rPr>
      </w:pPr>
      <w:r>
        <w:rPr>
          <w:rFonts w:hint="eastAsia" w:ascii="Arial" w:hAnsi="Arial" w:cs="宋体"/>
          <w:kern w:val="0"/>
          <w:szCs w:val="21"/>
        </w:rPr>
        <w:t>卖方还应保证合同项下所提供的服务包括培训、安装、调试、系统联调和试验、售后服务等，应按合同规定方式进行，并保证不存在因卖方工作人员的过失、错误或疏忽而产生的缺陷。</w:t>
      </w:r>
    </w:p>
    <w:p>
      <w:pPr>
        <w:numPr>
          <w:ilvl w:val="0"/>
          <w:numId w:val="20"/>
        </w:numPr>
        <w:autoSpaceDE w:val="0"/>
        <w:autoSpaceDN w:val="0"/>
        <w:adjustRightInd w:val="0"/>
        <w:snapToGrid w:val="0"/>
        <w:spacing w:line="360" w:lineRule="auto"/>
        <w:rPr>
          <w:rFonts w:ascii="Arial" w:hAnsi="Arial" w:cs="宋体"/>
          <w:szCs w:val="21"/>
        </w:rPr>
      </w:pPr>
      <w:r>
        <w:rPr>
          <w:rFonts w:hint="eastAsia" w:ascii="Arial" w:hAnsi="Arial" w:cs="宋体"/>
          <w:szCs w:val="21"/>
        </w:rPr>
        <w:t>任何与保证不符发生时，买方应立即书面通知卖方。接到上述通知后，卖方应立即免费更换或修理破损货物。</w:t>
      </w:r>
    </w:p>
    <w:p>
      <w:pPr>
        <w:numPr>
          <w:ilvl w:val="0"/>
          <w:numId w:val="20"/>
        </w:numPr>
        <w:autoSpaceDE w:val="0"/>
        <w:autoSpaceDN w:val="0"/>
        <w:adjustRightInd w:val="0"/>
        <w:snapToGrid w:val="0"/>
        <w:spacing w:line="360" w:lineRule="auto"/>
        <w:rPr>
          <w:rFonts w:ascii="Arial" w:hAnsi="Arial" w:cs="宋体"/>
          <w:szCs w:val="21"/>
        </w:rPr>
      </w:pPr>
      <w:r>
        <w:rPr>
          <w:rFonts w:hint="eastAsia" w:ascii="Arial" w:hAnsi="Arial" w:cs="宋体"/>
          <w:szCs w:val="21"/>
        </w:rPr>
        <w:t>如果卖方收到通知后，在规定的时间内没有以合理的速度弥补缺陷，买方可采取必要的补救措施，但其风险和费用将由卖方承担，买方根据合同规定对卖方行使的其他权力不受影响。</w:t>
      </w:r>
    </w:p>
    <w:p>
      <w:pPr>
        <w:numPr>
          <w:ilvl w:val="0"/>
          <w:numId w:val="20"/>
        </w:numPr>
        <w:autoSpaceDE w:val="0"/>
        <w:autoSpaceDN w:val="0"/>
        <w:adjustRightInd w:val="0"/>
        <w:snapToGrid w:val="0"/>
        <w:spacing w:line="360" w:lineRule="auto"/>
        <w:rPr>
          <w:rFonts w:ascii="Arial" w:hAnsi="Arial" w:cs="宋体"/>
          <w:szCs w:val="21"/>
        </w:rPr>
      </w:pPr>
      <w:r>
        <w:rPr>
          <w:rFonts w:hint="eastAsia" w:ascii="Arial" w:hAnsi="Arial" w:cs="宋体"/>
          <w:szCs w:val="21"/>
        </w:rPr>
        <w:t>如果任何缺损部分卖方不能在规定的期限或双方商定的合理期限内修补，则买方可在通知卖方后自行修补缺损，其费用和风险由卖方承担，但不影响合同规定的卖方责任；经卖方认可，买方可对细小缺陷进行修理或调整，但由此产生的全部费用由卖方承担。</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szCs w:val="21"/>
        </w:rPr>
        <w:t>卖方所供的货物必须已得到中华人民共和国有关部门许可其在中华人民共和国使用，否则，一切责任由卖方负责。</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质保期后服务</w:t>
      </w:r>
    </w:p>
    <w:p>
      <w:pPr>
        <w:autoSpaceDE w:val="0"/>
        <w:autoSpaceDN w:val="0"/>
        <w:adjustRightInd w:val="0"/>
        <w:snapToGrid w:val="0"/>
        <w:spacing w:line="360" w:lineRule="auto"/>
        <w:ind w:firstLine="525" w:firstLineChars="250"/>
        <w:rPr>
          <w:rFonts w:ascii="Arial" w:hAnsi="Arial" w:cs="宋体"/>
          <w:kern w:val="0"/>
          <w:szCs w:val="21"/>
        </w:rPr>
      </w:pPr>
      <w:r>
        <w:rPr>
          <w:rFonts w:hint="eastAsia" w:ascii="Arial" w:hAnsi="Arial"/>
          <w:kern w:val="0"/>
          <w:szCs w:val="21"/>
        </w:rPr>
        <w:t>卖方将根据买方的时间安排要求，安排1名完全合格的技术代表，</w:t>
      </w:r>
      <w:r>
        <w:rPr>
          <w:rFonts w:hint="eastAsia" w:ascii="Arial" w:hAnsi="Arial"/>
          <w:szCs w:val="21"/>
        </w:rPr>
        <w:t>以便帮助买方有关人员掌握正常操作，</w:t>
      </w:r>
      <w:r>
        <w:rPr>
          <w:rFonts w:hint="eastAsia" w:ascii="Arial" w:hAnsi="Arial"/>
          <w:kern w:val="0"/>
          <w:szCs w:val="21"/>
        </w:rPr>
        <w:t>对运转初期出现的故障进行应急处理。</w:t>
      </w:r>
    </w:p>
    <w:p>
      <w:pPr>
        <w:adjustRightInd w:val="0"/>
        <w:snapToGrid w:val="0"/>
        <w:spacing w:line="360" w:lineRule="auto"/>
        <w:ind w:firstLine="420" w:firstLineChars="200"/>
        <w:rPr>
          <w:rFonts w:ascii="Arial" w:hAnsi="Arial"/>
          <w:szCs w:val="21"/>
        </w:rPr>
      </w:pPr>
      <w:r>
        <w:rPr>
          <w:rFonts w:hint="eastAsia" w:ascii="Arial" w:hAnsi="Arial"/>
          <w:szCs w:val="21"/>
        </w:rPr>
        <w:t>质保期后至设备全寿命周期内，卖方将定期派员检查设备运行情况，消除隐患。在收到买方书面通知的</w:t>
      </w:r>
      <w:r>
        <w:rPr>
          <w:rFonts w:ascii="Arial" w:hAnsi="Arial"/>
          <w:szCs w:val="21"/>
        </w:rPr>
        <w:t>24</w:t>
      </w:r>
      <w:r>
        <w:rPr>
          <w:rFonts w:hint="eastAsia" w:ascii="Arial" w:hAnsi="Arial"/>
          <w:szCs w:val="21"/>
        </w:rPr>
        <w:t>小时内，卖方将派有关人员到达现场提供服务。由于生产急需，因卖方原因造成的质量事故，买方可先行处理，同时通告卖方并追究卖方责任，买方有权对卖方责任造成的损失提出索赔。在设备运转期内，卖方将经常走访用户，对设备进行巡访。对于需要更换的零部件，在收到买方书面通知后1</w:t>
      </w:r>
      <w:r>
        <w:rPr>
          <w:rFonts w:ascii="Arial" w:hAnsi="Arial"/>
          <w:szCs w:val="21"/>
        </w:rPr>
        <w:t>~</w:t>
      </w:r>
      <w:r>
        <w:rPr>
          <w:rFonts w:hint="eastAsia" w:ascii="Arial" w:hAnsi="Arial"/>
          <w:szCs w:val="21"/>
        </w:rPr>
        <w:t>3天内送达现场并更换、调试安毕。对于需要进口的零部件，在收到买方书面通知后的</w:t>
      </w:r>
      <w:r>
        <w:rPr>
          <w:rFonts w:ascii="Arial" w:hAnsi="Arial"/>
          <w:szCs w:val="21"/>
        </w:rPr>
        <w:t>1~2</w:t>
      </w:r>
      <w:r>
        <w:rPr>
          <w:rFonts w:hint="eastAsia" w:ascii="Arial" w:hAnsi="Arial"/>
          <w:szCs w:val="21"/>
        </w:rPr>
        <w:t>个星期内送达现场并更换、调试完毕。</w:t>
      </w:r>
    </w:p>
    <w:p>
      <w:pPr>
        <w:numPr>
          <w:ilvl w:val="0"/>
          <w:numId w:val="20"/>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买方的监理</w:t>
      </w:r>
    </w:p>
    <w:p>
      <w:pPr>
        <w:snapToGrid w:val="0"/>
        <w:spacing w:line="360" w:lineRule="auto"/>
        <w:ind w:firstLine="420"/>
        <w:rPr>
          <w:rFonts w:ascii="Arial" w:hAnsi="Arial"/>
          <w:szCs w:val="21"/>
        </w:rPr>
      </w:pPr>
      <w:r>
        <w:rPr>
          <w:rFonts w:hint="eastAsia" w:ascii="Arial" w:hAnsi="Arial"/>
          <w:szCs w:val="21"/>
        </w:rPr>
        <w:t>在设备制造、安装和调试过程中，买方如委托监理人员实施工程监理，监理工程师到卖方的制造厂及主要分包厂，对设备的总成、零部件、材料、包装及安装等情况进行监理。</w:t>
      </w:r>
      <w:r>
        <w:rPr>
          <w:rFonts w:ascii="Arial" w:hAnsi="Arial"/>
          <w:szCs w:val="21"/>
        </w:rPr>
        <w:t>卖方</w:t>
      </w:r>
      <w:r>
        <w:rPr>
          <w:rFonts w:hint="eastAsia" w:ascii="Arial" w:hAnsi="Arial"/>
          <w:szCs w:val="21"/>
        </w:rPr>
        <w:t>提供：</w:t>
      </w:r>
    </w:p>
    <w:p>
      <w:pPr>
        <w:numPr>
          <w:ilvl w:val="0"/>
          <w:numId w:val="21"/>
        </w:numPr>
        <w:snapToGrid w:val="0"/>
        <w:spacing w:line="360" w:lineRule="auto"/>
        <w:ind w:firstLine="420"/>
        <w:rPr>
          <w:rFonts w:ascii="Arial" w:hAnsi="Arial"/>
          <w:szCs w:val="21"/>
        </w:rPr>
      </w:pPr>
      <w:r>
        <w:rPr>
          <w:rFonts w:hint="eastAsia" w:ascii="Arial" w:hAnsi="Arial"/>
          <w:szCs w:val="21"/>
        </w:rPr>
        <w:t>办公场所（含必要的通讯设施），监理工程师的膳食、住宿和交通等便利。</w:t>
      </w:r>
    </w:p>
    <w:p>
      <w:pPr>
        <w:numPr>
          <w:ilvl w:val="0"/>
          <w:numId w:val="21"/>
        </w:numPr>
        <w:snapToGrid w:val="0"/>
        <w:spacing w:line="360" w:lineRule="auto"/>
        <w:ind w:firstLine="420"/>
        <w:rPr>
          <w:rFonts w:ascii="Arial" w:hAnsi="Arial"/>
          <w:szCs w:val="21"/>
        </w:rPr>
      </w:pPr>
      <w:r>
        <w:rPr>
          <w:rFonts w:hint="eastAsia" w:ascii="Arial" w:hAnsi="Arial"/>
          <w:szCs w:val="21"/>
        </w:rPr>
        <w:t>卖方向监理工程师提供一份经业主认可的技术规格书和总图、部件图、主要计算资料；施工图纸、工作日程、材料技术说明、试验报告、检验证书和检验记录及质量管理报告；安装工艺及图纸、检查试验步骤以及与试验有关的文件；安装及试验记录；仪器、仪表、工具及每月制造进度表（制造厂/分包厂）、检验工作计划等。在监理过程中，如因监理工作需要，卖方随时提供或借阅零件图。</w:t>
      </w:r>
    </w:p>
    <w:p>
      <w:pPr>
        <w:numPr>
          <w:ilvl w:val="0"/>
          <w:numId w:val="21"/>
        </w:numPr>
        <w:snapToGrid w:val="0"/>
        <w:spacing w:line="360" w:lineRule="auto"/>
        <w:ind w:firstLine="420"/>
        <w:rPr>
          <w:rFonts w:ascii="Arial" w:hAnsi="Arial"/>
          <w:szCs w:val="21"/>
        </w:rPr>
      </w:pPr>
      <w:r>
        <w:rPr>
          <w:rFonts w:hint="eastAsia" w:ascii="Arial" w:hAnsi="Arial"/>
          <w:szCs w:val="21"/>
        </w:rPr>
        <w:t>卖方建立完善的报验制度，卖方质检人员对报验项目先行检验合格，在有关单据上签字后再向监理工程师报验，并提前一天递交该项目的有关质检文件。主要部件及总成的检验需经监理工程师签字认可后方可进入下一道工序。</w:t>
      </w:r>
    </w:p>
    <w:p>
      <w:pPr>
        <w:numPr>
          <w:ilvl w:val="0"/>
          <w:numId w:val="21"/>
        </w:numPr>
        <w:snapToGrid w:val="0"/>
        <w:spacing w:line="360" w:lineRule="auto"/>
        <w:ind w:firstLine="420"/>
        <w:rPr>
          <w:rFonts w:ascii="Arial" w:hAnsi="Arial"/>
          <w:szCs w:val="21"/>
        </w:rPr>
      </w:pPr>
      <w:r>
        <w:rPr>
          <w:rFonts w:hint="eastAsia" w:ascii="Arial" w:hAnsi="Arial"/>
          <w:szCs w:val="21"/>
        </w:rPr>
        <w:t>卖方向监理工程师提供工厂质量保证计划，质量检验大纲及质量检查控制表。</w:t>
      </w:r>
    </w:p>
    <w:p>
      <w:pPr>
        <w:numPr>
          <w:ilvl w:val="0"/>
          <w:numId w:val="21"/>
        </w:numPr>
        <w:snapToGrid w:val="0"/>
        <w:spacing w:line="360" w:lineRule="auto"/>
        <w:ind w:firstLine="420"/>
        <w:rPr>
          <w:rFonts w:ascii="Arial" w:hAnsi="Arial"/>
          <w:szCs w:val="21"/>
        </w:rPr>
      </w:pPr>
      <w:r>
        <w:rPr>
          <w:rFonts w:hint="eastAsia" w:ascii="Arial" w:hAnsi="Arial"/>
          <w:szCs w:val="21"/>
        </w:rPr>
        <w:t>卖方对监理工程师开出的监理通知书将及时回复。当因质量问题与卖方发生严重分歧时，监理有权发出暂停施工命令，并立即报买方裁决。</w:t>
      </w: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检验和验收</w:t>
      </w:r>
    </w:p>
    <w:p>
      <w:pPr>
        <w:numPr>
          <w:ilvl w:val="0"/>
          <w:numId w:val="22"/>
        </w:numPr>
        <w:autoSpaceDE w:val="0"/>
        <w:autoSpaceDN w:val="0"/>
        <w:adjustRightInd w:val="0"/>
        <w:snapToGrid w:val="0"/>
        <w:spacing w:line="360" w:lineRule="auto"/>
        <w:rPr>
          <w:rFonts w:ascii="Arial" w:hAnsi="Arial"/>
        </w:rPr>
      </w:pPr>
      <w:r>
        <w:rPr>
          <w:rFonts w:hint="eastAsia" w:ascii="Arial" w:hAnsi="Arial"/>
        </w:rPr>
        <w:t>买方在货物运抵现场后3日内根据合同内容组织货物验收，并制作验收备忘录，签署验收意见。</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 xml:space="preserve">检验和验收在交货地点或最终目的地，在卖方在场下进行。卖方应免费提供合理的协助和设施包括图纸及数据。  </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检验和验收中如发现货物与技术规格要求不符，买方可拒收货物，卖方应免费对拒收货物采取更换或其他必要的补救措施。</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在发货前，对预加工件、设备的有关内在和外观质量、规格、性能、数量和重量进行准确的和全面的检验，并出具符合合同规定的质量证书。该证书将作为买方付款依据的组成部分，但不应视为对质量、规格、性能、数量或重量的最终定论。</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在合同规定的质量保证期内，如果发现设备的质量或规格与合同规定不符，或证明设备有缺陷，包括潜在的缺陷或使用不合适的原材料等，由买方组织质检，据质检报告及质量保证条款立即向卖方提出索赔。</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卖方负责货物制造过程汇总货物质量控制检验和测试，和货物运抵现场前后必要的测试、调试和验收。</w:t>
      </w:r>
    </w:p>
    <w:p>
      <w:pPr>
        <w:numPr>
          <w:ilvl w:val="0"/>
          <w:numId w:val="2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买方收到中国船级社出具的本项目检测合格证明为依据，最终双方签署项目验收合格书。</w:t>
      </w: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索赔</w:t>
      </w:r>
    </w:p>
    <w:p>
      <w:pPr>
        <w:numPr>
          <w:ilvl w:val="0"/>
          <w:numId w:val="23"/>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质量索赔</w:t>
      </w:r>
    </w:p>
    <w:p>
      <w:pPr>
        <w:numPr>
          <w:ilvl w:val="0"/>
          <w:numId w:val="24"/>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卖方对设备与合同要求不符负有责任，并且买方已于规定的检验、安装、调试和验收测试期限内和质量保证期内提出索赔，卖方应按买方同意的下述一种或多种方法解决索赔事宜。</w:t>
      </w:r>
    </w:p>
    <w:p>
      <w:pPr>
        <w:numPr>
          <w:ilvl w:val="0"/>
          <w:numId w:val="25"/>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同意买方拒收设备并把被拒收设备的金额以合同规定的货币付给买方，卖方负担发生的一切损失和费用，包括利息、银行费用、运输费、检验费、仓储和装卸费以及为保管和保护被拒绝设备所需要的其它必要费用。</w:t>
      </w:r>
    </w:p>
    <w:p>
      <w:pPr>
        <w:numPr>
          <w:ilvl w:val="0"/>
          <w:numId w:val="25"/>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根据设备的疵劣和受损程度以及买方遭受损失的金额，经双方同意降低设备价格。</w:t>
      </w:r>
    </w:p>
    <w:p>
      <w:pPr>
        <w:numPr>
          <w:ilvl w:val="0"/>
          <w:numId w:val="25"/>
        </w:numPr>
        <w:autoSpaceDE w:val="0"/>
        <w:autoSpaceDN w:val="0"/>
        <w:adjustRightInd w:val="0"/>
        <w:snapToGrid w:val="0"/>
        <w:spacing w:line="360" w:lineRule="auto"/>
        <w:rPr>
          <w:rFonts w:ascii="Arial" w:hAnsi="Arial"/>
          <w:bCs/>
          <w:szCs w:val="21"/>
        </w:rPr>
      </w:pPr>
      <w:r>
        <w:rPr>
          <w:rFonts w:hint="eastAsia" w:ascii="Arial" w:hAnsi="Arial" w:cs="宋体"/>
          <w:kern w:val="0"/>
          <w:szCs w:val="21"/>
        </w:rPr>
        <w:t>更换有缺陷的零件、部件和设备，或修理缺陷部分，以达到合同规定的规格、质量和性能，卖方承担一切费用和风险并负担买方遭受的一切直接费用。同时卖方应相应延长被更换设备的质量保证期。</w:t>
      </w:r>
    </w:p>
    <w:p>
      <w:pPr>
        <w:numPr>
          <w:ilvl w:val="0"/>
          <w:numId w:val="25"/>
        </w:numPr>
        <w:autoSpaceDE w:val="0"/>
        <w:autoSpaceDN w:val="0"/>
        <w:adjustRightInd w:val="0"/>
        <w:snapToGrid w:val="0"/>
        <w:spacing w:line="360" w:lineRule="auto"/>
        <w:rPr>
          <w:rFonts w:ascii="Arial" w:hAnsi="Arial"/>
          <w:bCs/>
          <w:szCs w:val="21"/>
        </w:rPr>
      </w:pPr>
      <w:r>
        <w:rPr>
          <w:rFonts w:hint="eastAsia" w:ascii="Arial" w:hAnsi="Arial"/>
          <w:bCs/>
          <w:szCs w:val="21"/>
        </w:rPr>
        <w:t>买方拒绝接受索赔项下的系统设备和材料，并退回给卖方。卖方应赔偿买方索赔项下的设备和材料的一切费用及额外支出，包括买方从其他地方采购替换设备和材料的费用。</w:t>
      </w:r>
    </w:p>
    <w:p>
      <w:pPr>
        <w:autoSpaceDE w:val="0"/>
        <w:autoSpaceDN w:val="0"/>
        <w:adjustRightInd w:val="0"/>
        <w:snapToGrid w:val="0"/>
        <w:spacing w:line="360" w:lineRule="auto"/>
        <w:ind w:firstLine="420" w:firstLineChars="200"/>
        <w:rPr>
          <w:rFonts w:ascii="Arial" w:hAnsi="Arial" w:cs="宋体"/>
          <w:kern w:val="0"/>
          <w:szCs w:val="21"/>
        </w:rPr>
      </w:pPr>
      <w:r>
        <w:rPr>
          <w:rFonts w:hint="eastAsia" w:ascii="Arial" w:hAnsi="Arial"/>
          <w:bCs/>
          <w:szCs w:val="21"/>
        </w:rPr>
        <w:t>拒收设备和材料的运输和保险费用应由卖方支付。</w:t>
      </w:r>
    </w:p>
    <w:p>
      <w:pPr>
        <w:numPr>
          <w:ilvl w:val="0"/>
          <w:numId w:val="2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如果买方提出索赔通知后，在7天内卖方未能予以答复，该索赔应视为已被卖方接受。若卖方未能在买方提出索赔通知后7天内或买方同意的更长时间内，按买方同意的上述任何一种方式处理索赔事宜，买方将从待付款或卖方提供的履约保证金中扣回索赔金额，同时保留进一步要求赔偿的权利。</w:t>
      </w:r>
    </w:p>
    <w:p>
      <w:pPr>
        <w:numPr>
          <w:ilvl w:val="0"/>
          <w:numId w:val="2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违约责任</w:t>
      </w:r>
    </w:p>
    <w:p>
      <w:pPr>
        <w:numPr>
          <w:ilvl w:val="0"/>
          <w:numId w:val="26"/>
        </w:numPr>
        <w:snapToGrid w:val="0"/>
        <w:spacing w:line="360" w:lineRule="auto"/>
        <w:rPr>
          <w:rFonts w:ascii="Arial" w:hAnsi="Arial" w:cs="宋体"/>
          <w:kern w:val="0"/>
          <w:szCs w:val="21"/>
        </w:rPr>
      </w:pPr>
      <w:r>
        <w:rPr>
          <w:rFonts w:hint="eastAsia" w:ascii="Arial" w:hAnsi="Arial" w:cs="宋体"/>
          <w:kern w:val="0"/>
          <w:szCs w:val="21"/>
        </w:rPr>
        <w:t>如由于双方的过错造成合同不能履行、不能完全履行或不适当履行，应根据实际情况由双方分别承担各自应负的违约责任。</w:t>
      </w:r>
    </w:p>
    <w:p>
      <w:pPr>
        <w:numPr>
          <w:ilvl w:val="0"/>
          <w:numId w:val="26"/>
        </w:numPr>
        <w:snapToGrid w:val="0"/>
        <w:spacing w:line="360" w:lineRule="auto"/>
        <w:rPr>
          <w:rFonts w:ascii="Arial" w:hAnsi="Arial" w:cs="宋体"/>
          <w:kern w:val="0"/>
          <w:szCs w:val="21"/>
        </w:rPr>
      </w:pPr>
      <w:r>
        <w:rPr>
          <w:rFonts w:hint="eastAsia" w:ascii="Arial" w:hAnsi="Arial" w:cs="宋体"/>
          <w:kern w:val="0"/>
          <w:szCs w:val="21"/>
        </w:rPr>
        <w:t>如因卖方过错造成合同不能履行、不能完全履行或不适当履行，由卖方负责并承担由此造成的一切损失和费用以及买方采取合理补救措施的一切费用。</w:t>
      </w:r>
    </w:p>
    <w:p>
      <w:pPr>
        <w:numPr>
          <w:ilvl w:val="0"/>
          <w:numId w:val="2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短装索赔</w:t>
      </w:r>
    </w:p>
    <w:p>
      <w:pPr>
        <w:numPr>
          <w:ilvl w:val="0"/>
          <w:numId w:val="27"/>
        </w:numPr>
        <w:snapToGrid w:val="0"/>
        <w:spacing w:line="360" w:lineRule="auto"/>
        <w:rPr>
          <w:rFonts w:ascii="Arial" w:hAnsi="Arial" w:cs="宋体"/>
          <w:kern w:val="0"/>
          <w:szCs w:val="21"/>
        </w:rPr>
      </w:pPr>
      <w:r>
        <w:rPr>
          <w:rFonts w:hint="eastAsia" w:ascii="Arial" w:hAnsi="Arial" w:cs="宋体"/>
          <w:kern w:val="0"/>
          <w:szCs w:val="21"/>
        </w:rPr>
        <w:t>由卖方负责装运之设备和材料，一经发现短缺、误装或因卖方原因引起的损坏，买方应以信函方式向卖方提出索赔。索赔文件应同时附上证明短装、误装或破损的书面文件作为依据。</w:t>
      </w:r>
    </w:p>
    <w:p>
      <w:pPr>
        <w:numPr>
          <w:ilvl w:val="0"/>
          <w:numId w:val="27"/>
        </w:numPr>
        <w:snapToGrid w:val="0"/>
        <w:spacing w:line="360" w:lineRule="auto"/>
        <w:rPr>
          <w:rFonts w:ascii="Arial" w:hAnsi="Arial" w:cs="宋体"/>
          <w:kern w:val="0"/>
          <w:szCs w:val="21"/>
        </w:rPr>
      </w:pPr>
      <w:r>
        <w:rPr>
          <w:rFonts w:hint="eastAsia" w:ascii="Arial" w:hAnsi="Arial" w:cs="宋体"/>
          <w:kern w:val="0"/>
          <w:szCs w:val="21"/>
        </w:rPr>
        <w:t>一旦收到买方索赔文件，卖方应无偿的补足短装货物，替换误装或损坏的货物，除非双方另有协议，该补足或替换应在十（10）天内完成。起始日期应以卖方现场代表收到买方以书面形式的索赔文件之日起计算。如卖方的补足或替换未能在十（10）天内完成，其引起的误期罚款按本合同条款第15条之15</w:t>
      </w:r>
      <w:r>
        <w:rPr>
          <w:rFonts w:ascii="Arial" w:hAnsi="Arial" w:cs="宋体"/>
          <w:kern w:val="0"/>
          <w:szCs w:val="21"/>
        </w:rPr>
        <w:t>.</w:t>
      </w:r>
      <w:r>
        <w:rPr>
          <w:rFonts w:hint="eastAsia" w:ascii="Arial" w:hAnsi="Arial" w:cs="宋体"/>
          <w:kern w:val="0"/>
          <w:szCs w:val="21"/>
        </w:rPr>
        <w:t>1执行。</w:t>
      </w:r>
    </w:p>
    <w:p>
      <w:pPr>
        <w:numPr>
          <w:ilvl w:val="0"/>
          <w:numId w:val="27"/>
        </w:numPr>
        <w:snapToGrid w:val="0"/>
        <w:spacing w:line="360" w:lineRule="auto"/>
        <w:rPr>
          <w:rFonts w:ascii="Arial" w:hAnsi="Arial" w:cs="宋体"/>
          <w:kern w:val="0"/>
          <w:szCs w:val="21"/>
        </w:rPr>
      </w:pPr>
      <w:r>
        <w:rPr>
          <w:rFonts w:hint="eastAsia" w:ascii="Arial" w:hAnsi="Arial" w:cs="宋体"/>
          <w:kern w:val="0"/>
          <w:szCs w:val="21"/>
        </w:rPr>
        <w:t>若索赔属于保险赔偿范围，则卖方应自行处理保险索赔，且不应影响本合同条款第14条之14</w:t>
      </w:r>
      <w:r>
        <w:rPr>
          <w:rFonts w:ascii="Arial" w:hAnsi="Arial" w:cs="宋体"/>
          <w:kern w:val="0"/>
          <w:szCs w:val="21"/>
        </w:rPr>
        <w:t>.</w:t>
      </w:r>
      <w:r>
        <w:rPr>
          <w:rFonts w:hint="eastAsia" w:ascii="Arial" w:hAnsi="Arial" w:cs="宋体"/>
          <w:kern w:val="0"/>
          <w:szCs w:val="21"/>
        </w:rPr>
        <w:t>4</w:t>
      </w:r>
      <w:r>
        <w:rPr>
          <w:rFonts w:ascii="Arial" w:hAnsi="Arial" w:cs="宋体"/>
          <w:kern w:val="0"/>
          <w:szCs w:val="21"/>
        </w:rPr>
        <w:t>.2</w:t>
      </w:r>
      <w:r>
        <w:rPr>
          <w:rFonts w:hint="eastAsia" w:ascii="Arial" w:hAnsi="Arial" w:cs="宋体"/>
          <w:kern w:val="0"/>
          <w:szCs w:val="21"/>
        </w:rPr>
        <w:t>的执行。</w:t>
      </w:r>
    </w:p>
    <w:p>
      <w:pPr>
        <w:numPr>
          <w:ilvl w:val="0"/>
          <w:numId w:val="2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违约金与赔偿金额计算</w:t>
      </w:r>
    </w:p>
    <w:p>
      <w:pPr>
        <w:snapToGrid w:val="0"/>
        <w:spacing w:line="360" w:lineRule="auto"/>
        <w:ind w:firstLine="420" w:firstLineChars="200"/>
        <w:rPr>
          <w:rFonts w:ascii="Arial" w:hAnsi="Arial" w:cs="宋体"/>
          <w:kern w:val="0"/>
          <w:szCs w:val="21"/>
        </w:rPr>
      </w:pPr>
      <w:r>
        <w:rPr>
          <w:rFonts w:hint="eastAsia" w:ascii="Arial" w:hAnsi="Arial" w:cs="宋体"/>
          <w:kern w:val="0"/>
          <w:szCs w:val="21"/>
        </w:rPr>
        <w:t>本合同项下涉及的所有的违约金和赔偿金额均依据合同的规定计算。如合同未有明确规定的，则根据国家或地方的有关规定、惯例、行业规定等合理地估算。</w:t>
      </w:r>
    </w:p>
    <w:p>
      <w:pPr>
        <w:numPr>
          <w:ilvl w:val="0"/>
          <w:numId w:val="2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违约金与赔偿的支付</w:t>
      </w:r>
    </w:p>
    <w:p>
      <w:pPr>
        <w:snapToGrid w:val="0"/>
        <w:spacing w:line="360" w:lineRule="auto"/>
        <w:ind w:firstLine="420" w:firstLineChars="200"/>
        <w:rPr>
          <w:rFonts w:ascii="Arial" w:hAnsi="Arial" w:cs="宋体"/>
          <w:kern w:val="0"/>
          <w:szCs w:val="21"/>
        </w:rPr>
      </w:pPr>
      <w:r>
        <w:rPr>
          <w:rFonts w:hint="eastAsia" w:ascii="Arial" w:hAnsi="Arial" w:cs="宋体"/>
          <w:kern w:val="0"/>
          <w:szCs w:val="21"/>
        </w:rPr>
        <w:t>对于合同中所列的违约金和赔偿，买方有权从履约保函中获得违约金和赔偿或从卖方的后续货款中扣除，或要求卖方以电汇方式向买方支付偿还。在后一种情况下卖方应在一个月内凭买方索赔文件以电汇方式向买方支付所有违约金和索赔偿还。</w:t>
      </w:r>
    </w:p>
    <w:p>
      <w:pPr>
        <w:autoSpaceDE w:val="0"/>
        <w:autoSpaceDN w:val="0"/>
        <w:adjustRightInd w:val="0"/>
        <w:snapToGrid w:val="0"/>
        <w:spacing w:line="360" w:lineRule="auto"/>
        <w:ind w:left="718" w:hanging="718" w:hangingChars="342"/>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 xml:space="preserve">延期交货与核定损失额    </w:t>
      </w:r>
    </w:p>
    <w:p>
      <w:pPr>
        <w:numPr>
          <w:ilvl w:val="0"/>
          <w:numId w:val="2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如果卖方未能按合同规定的时间按期交货(本合同第16款规定的不可抗力除外)，在卖方同意支付核定损失额的条件下，买方将同意延长交货期。核定损失额比率为：</w:t>
      </w:r>
    </w:p>
    <w:p>
      <w:pPr>
        <w:numPr>
          <w:ilvl w:val="0"/>
          <w:numId w:val="29"/>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第一至第四周，每周违约金金额为该批到货金额的</w:t>
      </w:r>
      <w:r>
        <w:rPr>
          <w:rFonts w:ascii="Arial" w:hAnsi="Arial" w:cs="宋体"/>
          <w:kern w:val="0"/>
          <w:szCs w:val="21"/>
        </w:rPr>
        <w:t>0.5%</w:t>
      </w:r>
      <w:r>
        <w:rPr>
          <w:rFonts w:hint="eastAsia" w:ascii="Arial" w:hAnsi="Arial" w:cs="宋体"/>
          <w:kern w:val="0"/>
          <w:szCs w:val="21"/>
        </w:rPr>
        <w:t>；</w:t>
      </w:r>
    </w:p>
    <w:p>
      <w:pPr>
        <w:numPr>
          <w:ilvl w:val="0"/>
          <w:numId w:val="29"/>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第五至第八周，每周违约金金额为该批到货金额的0.8%；</w:t>
      </w:r>
    </w:p>
    <w:p>
      <w:pPr>
        <w:numPr>
          <w:ilvl w:val="0"/>
          <w:numId w:val="29"/>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第九周后，每周违约金金额为该批到货金额的1.0%。</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延期交货不满一周按一周计算。但是，核定损失额的支付不得超过合同总金额的10%。如果卖方在达到核定损失额的最高限额后仍不能交货，买方有权因卖方违约终止合同，而卖方仍有义务支付上述迟交核定损失额。</w:t>
      </w:r>
    </w:p>
    <w:p>
      <w:pPr>
        <w:numPr>
          <w:ilvl w:val="0"/>
          <w:numId w:val="2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需及时提供初步设计、深化设计、详细设计审查、最终图纸确认资料以及买方要求提供的其他资料；如卖方未按合同要求或买方合理要求及时提交相关资料，每延迟一周，将按延期提资处理，延期罚金为每周人民币6000元至人民币10000元，具体金额由买方认定。</w:t>
      </w:r>
    </w:p>
    <w:p>
      <w:pPr>
        <w:numPr>
          <w:ilvl w:val="0"/>
          <w:numId w:val="2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如因买方延迟交货原因造成卖方场外仓储超过90天的，超过部分买方须在发货前按照实际发生向卖方支付仓储费。</w:t>
      </w:r>
    </w:p>
    <w:p>
      <w:pPr>
        <w:numPr>
          <w:ilvl w:val="0"/>
          <w:numId w:val="2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如因卖方原因延期安装就位，卖方应支付违约金按每天1000元，具体金额由买方认定。</w:t>
      </w:r>
      <w:r>
        <w:rPr>
          <w:rFonts w:hint="eastAsia" w:ascii="Arial" w:hAnsi="Arial" w:cs="宋体"/>
          <w:kern w:val="0"/>
          <w:szCs w:val="21"/>
          <w:highlight w:val="yellow"/>
        </w:rPr>
        <w:t>延期交货超过30天的，买方有权单方解除或要求继续履行全部或部分合同并要求支付合同金额10%的违约金。违约金不足以弥补买方损失的，卖方应予以补足</w:t>
      </w:r>
      <w:r>
        <w:rPr>
          <w:rFonts w:hint="eastAsia" w:ascii="Arial" w:hAnsi="Arial" w:cs="宋体"/>
          <w:kern w:val="0"/>
          <w:szCs w:val="21"/>
          <w:highlight w:val="yellow"/>
          <w:lang w:eastAsia="zh-CN"/>
        </w:rPr>
        <w:t>。</w:t>
      </w: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不可抗力</w:t>
      </w:r>
    </w:p>
    <w:p>
      <w:pPr>
        <w:numPr>
          <w:ilvl w:val="0"/>
          <w:numId w:val="30"/>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签约双方任何一方由于诸如战争、严重火灾、洪水、台风、地震等不可抗力事故的影响而不能执行合同时，则可适当延长履约期限。</w:t>
      </w:r>
    </w:p>
    <w:p>
      <w:pPr>
        <w:numPr>
          <w:ilvl w:val="0"/>
          <w:numId w:val="30"/>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受阻一方应在不可抗力事故发生后尽快用传真通知对方，并于事故发生后14天内将有关当局出具的证明文件用特快专递或挂号信寄给对方审阅确认。一旦不可抗力事故的影响持续60天以上，双方应通过友好协商在合理的时间内达成进一步履行合同的协议。</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履约保证金</w:t>
      </w:r>
    </w:p>
    <w:p>
      <w:pPr>
        <w:autoSpaceDE w:val="0"/>
        <w:autoSpaceDN w:val="0"/>
        <w:adjustRightInd w:val="0"/>
        <w:snapToGrid w:val="0"/>
        <w:spacing w:line="360" w:lineRule="auto"/>
        <w:ind w:left="208" w:leftChars="99" w:firstLine="396" w:firstLineChars="189"/>
        <w:rPr>
          <w:rFonts w:ascii="Arial" w:hAnsi="Arial" w:cs="宋体"/>
          <w:kern w:val="0"/>
          <w:szCs w:val="21"/>
          <w:highlight w:val="yellow"/>
        </w:rPr>
      </w:pPr>
      <w:r>
        <w:rPr>
          <w:rFonts w:hint="eastAsia" w:ascii="Arial" w:hAnsi="Arial" w:cs="宋体"/>
          <w:kern w:val="0"/>
          <w:szCs w:val="21"/>
          <w:highlight w:val="yellow"/>
        </w:rPr>
        <w:t>本项目履约保证金为合同金额的10%。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争议解决</w:t>
      </w:r>
    </w:p>
    <w:p>
      <w:pPr>
        <w:numPr>
          <w:ilvl w:val="0"/>
          <w:numId w:val="31"/>
        </w:numPr>
        <w:autoSpaceDE w:val="0"/>
        <w:autoSpaceDN w:val="0"/>
        <w:adjustRightInd w:val="0"/>
        <w:snapToGrid w:val="0"/>
        <w:spacing w:line="360" w:lineRule="auto"/>
        <w:rPr>
          <w:rFonts w:ascii="Arial" w:hAnsi="Arial"/>
          <w:kern w:val="0"/>
          <w:szCs w:val="21"/>
        </w:rPr>
      </w:pPr>
      <w:r>
        <w:rPr>
          <w:rFonts w:hint="eastAsia" w:ascii="Arial" w:hAnsi="Arial"/>
        </w:rPr>
        <w:t>合同实施或与合同有关的一切争端应通过双方协商解决。如果协商开始后3</w:t>
      </w:r>
      <w:r>
        <w:rPr>
          <w:rFonts w:ascii="Arial" w:hAnsi="Arial"/>
        </w:rPr>
        <w:t>0</w:t>
      </w:r>
      <w:r>
        <w:rPr>
          <w:rFonts w:hint="eastAsia" w:ascii="Arial" w:hAnsi="Arial"/>
        </w:rPr>
        <w:t>天还不能解决，任何一方均可向买方所在地有管辖权的人民法院提起诉讼。</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违约终止合同</w:t>
      </w:r>
    </w:p>
    <w:p>
      <w:pPr>
        <w:numPr>
          <w:ilvl w:val="0"/>
          <w:numId w:val="3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补救违约而采取的任何其他措施未能实现的情况下，即在卖方收到买方发出的违约通知后15天内(或经买方书面确认的更长时间内)仍未纠正其下述任何一种违约行为，买方可向卖方发出书面违约通知，终止全部或部分合同，由此引起的损失由卖方承担；</w:t>
      </w:r>
    </w:p>
    <w:p>
      <w:pPr>
        <w:numPr>
          <w:ilvl w:val="0"/>
          <w:numId w:val="33"/>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如果卖方未能在合同规定的期限内或买方准许的任何延期内交付部分或全部设备。</w:t>
      </w:r>
    </w:p>
    <w:p>
      <w:pPr>
        <w:numPr>
          <w:ilvl w:val="0"/>
          <w:numId w:val="33"/>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卖方未能履行合同项下的任何其他义务。</w:t>
      </w:r>
    </w:p>
    <w:p>
      <w:pPr>
        <w:numPr>
          <w:ilvl w:val="0"/>
          <w:numId w:val="32"/>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一旦买方根据第19.1款终止部分或全部合同，买方可以按其认为适当的条件和方式采购类似未交付部分的设备。卖方应承担买方购买类似设备的额外差价。但是，卖方应继续履行合同中未终止的部分。</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变更事项</w:t>
      </w:r>
    </w:p>
    <w:p>
      <w:pPr>
        <w:numPr>
          <w:ilvl w:val="0"/>
          <w:numId w:val="34"/>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 xml:space="preserve">买方可以在需要的时候向卖方发出书面变更事项通知，在合同总体范围内对如下一点或几点提出变更： </w:t>
      </w:r>
    </w:p>
    <w:p>
      <w:pPr>
        <w:numPr>
          <w:ilvl w:val="0"/>
          <w:numId w:val="35"/>
        </w:numPr>
        <w:autoSpaceDE w:val="0"/>
        <w:autoSpaceDN w:val="0"/>
        <w:adjustRightInd w:val="0"/>
        <w:snapToGrid w:val="0"/>
        <w:spacing w:line="360" w:lineRule="auto"/>
        <w:ind w:firstLine="420" w:firstLineChars="200"/>
        <w:rPr>
          <w:rFonts w:ascii="Arial" w:hAnsi="Arial" w:cs="宋体"/>
          <w:kern w:val="0"/>
          <w:szCs w:val="21"/>
        </w:rPr>
      </w:pPr>
      <w:r>
        <w:rPr>
          <w:rFonts w:hint="eastAsia" w:ascii="Arial" w:hAnsi="Arial" w:cs="宋体"/>
          <w:kern w:val="0"/>
          <w:szCs w:val="21"/>
        </w:rPr>
        <w:t>为合同特别制造的货物的技术规格、图纸、设计等；</w:t>
      </w:r>
    </w:p>
    <w:p>
      <w:pPr>
        <w:numPr>
          <w:ilvl w:val="0"/>
          <w:numId w:val="35"/>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包装运输方式；</w:t>
      </w:r>
    </w:p>
    <w:p>
      <w:pPr>
        <w:numPr>
          <w:ilvl w:val="0"/>
          <w:numId w:val="35"/>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交货地点：</w:t>
      </w:r>
    </w:p>
    <w:p>
      <w:pPr>
        <w:numPr>
          <w:ilvl w:val="0"/>
          <w:numId w:val="35"/>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卖方需提供的服务。</w:t>
      </w:r>
    </w:p>
    <w:p>
      <w:pPr>
        <w:numPr>
          <w:ilvl w:val="0"/>
          <w:numId w:val="34"/>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卖方收到买方通知后应在十天内向买方提供修改所带来的费用变化及交货期的变化。</w:t>
      </w:r>
    </w:p>
    <w:p>
      <w:pPr>
        <w:numPr>
          <w:ilvl w:val="0"/>
          <w:numId w:val="34"/>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卖方必须在买方按20.2条的预计为依据提出正式书面定货更改后才能开始实施这种修改。</w:t>
      </w:r>
    </w:p>
    <w:p>
      <w:pPr>
        <w:numPr>
          <w:ilvl w:val="0"/>
          <w:numId w:val="34"/>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 xml:space="preserve">任何修改将构成合同的组成部分并适用其他条款。   </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合同修改</w:t>
      </w:r>
    </w:p>
    <w:p>
      <w:pPr>
        <w:numPr>
          <w:ilvl w:val="0"/>
          <w:numId w:val="36"/>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除非买卖双方签署书面修改，否则不能对合同条款进行任何修改。</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转让与分包</w:t>
      </w:r>
    </w:p>
    <w:p>
      <w:pPr>
        <w:numPr>
          <w:ilvl w:val="0"/>
          <w:numId w:val="3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除买方书面同意外，卖方不能就部分或全部合同进行分包。</w:t>
      </w:r>
    </w:p>
    <w:p>
      <w:pPr>
        <w:numPr>
          <w:ilvl w:val="0"/>
          <w:numId w:val="3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卖方保证分包商在执行分包合同时应遵守分包部分的合同条款。</w:t>
      </w:r>
    </w:p>
    <w:p>
      <w:pPr>
        <w:autoSpaceDE w:val="0"/>
        <w:autoSpaceDN w:val="0"/>
        <w:adjustRightInd w:val="0"/>
        <w:snapToGrid w:val="0"/>
        <w:spacing w:line="360" w:lineRule="auto"/>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适用法律</w:t>
      </w:r>
    </w:p>
    <w:p>
      <w:pPr>
        <w:numPr>
          <w:ilvl w:val="0"/>
          <w:numId w:val="3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 xml:space="preserve">本合同应按中华人民共和国的法律解释。  </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主导语言与计量单位</w:t>
      </w:r>
    </w:p>
    <w:p>
      <w:pPr>
        <w:numPr>
          <w:ilvl w:val="0"/>
          <w:numId w:val="39"/>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合同书写应用中文，买卖双方所有往来信函及与合同有关的文件均应以中文书写。</w:t>
      </w:r>
    </w:p>
    <w:p>
      <w:pPr>
        <w:numPr>
          <w:ilvl w:val="0"/>
          <w:numId w:val="39"/>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除技术规格中另有规定外，计量单位均使用中华人民共和国法定计量单位。</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通知</w:t>
      </w:r>
    </w:p>
    <w:p>
      <w:pPr>
        <w:numPr>
          <w:ilvl w:val="0"/>
          <w:numId w:val="40"/>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本合同任何一方给另一方的通知都应以书面或传真的形式发送，而另一方应以书面或对应形式确认并发送到对方明确的地址。</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合同文件及资料的使用</w:t>
      </w:r>
    </w:p>
    <w:p>
      <w:pPr>
        <w:numPr>
          <w:ilvl w:val="0"/>
          <w:numId w:val="41"/>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除了卖方为执行合同所雇人员外，在未经买方同意的情况下，卖方不得将合同、合同中的规定、有关规格、计划、图纸、式样、样本或买方为上述内容向卖方提供的资料透露给任何人。卖方须在对外保密的前提下，对其雇佣人员提供有关情况，所提供的情况仅限于执行合同必不可少的范围内。</w:t>
      </w:r>
    </w:p>
    <w:p>
      <w:pPr>
        <w:numPr>
          <w:ilvl w:val="0"/>
          <w:numId w:val="41"/>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除合同本身以外，26.1款列明的所有资料始终为买方的财产，若买方要求，卖方应于其合同义务履行完毕后将这些资料(包括所有副本)退还买方。</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合同生效及其他</w:t>
      </w:r>
    </w:p>
    <w:p>
      <w:pPr>
        <w:pStyle w:val="14"/>
        <w:numPr>
          <w:ilvl w:val="0"/>
          <w:numId w:val="42"/>
        </w:numPr>
        <w:snapToGrid w:val="0"/>
        <w:spacing w:line="360" w:lineRule="auto"/>
        <w:rPr>
          <w:rFonts w:ascii="Arial" w:hAnsi="Arial"/>
          <w:sz w:val="21"/>
          <w:lang w:eastAsia="zh-CN"/>
        </w:rPr>
      </w:pPr>
      <w:r>
        <w:rPr>
          <w:rFonts w:ascii="Arial" w:hAnsi="Arial"/>
          <w:sz w:val="21"/>
          <w:lang w:eastAsia="zh-CN"/>
        </w:rPr>
        <w:t>本合同应在满足以下条件后生效：</w:t>
      </w:r>
    </w:p>
    <w:p>
      <w:pPr>
        <w:pStyle w:val="14"/>
        <w:snapToGrid w:val="0"/>
        <w:spacing w:line="360" w:lineRule="auto"/>
        <w:ind w:left="504" w:leftChars="220" w:hanging="42" w:hangingChars="20"/>
        <w:rPr>
          <w:rFonts w:ascii="Arial" w:hAnsi="Arial"/>
          <w:sz w:val="21"/>
          <w:lang w:eastAsia="zh-CN"/>
        </w:rPr>
      </w:pPr>
      <w:r>
        <w:rPr>
          <w:rFonts w:ascii="Arial" w:hAnsi="Arial"/>
          <w:sz w:val="21"/>
          <w:lang w:eastAsia="zh-CN"/>
        </w:rPr>
        <w:t>1）双方法定代表人（</w:t>
      </w:r>
      <w:r>
        <w:rPr>
          <w:lang w:eastAsia="zh-CN"/>
        </w:rPr>
        <w:t>或</w:t>
      </w:r>
      <w:r>
        <w:rPr>
          <w:rFonts w:ascii="Arial" w:hAnsi="Arial"/>
          <w:sz w:val="21"/>
          <w:lang w:eastAsia="zh-CN"/>
        </w:rPr>
        <w:t>授权代表）签署合同；</w:t>
      </w:r>
    </w:p>
    <w:p>
      <w:pPr>
        <w:pStyle w:val="14"/>
        <w:snapToGrid w:val="0"/>
        <w:spacing w:line="360" w:lineRule="auto"/>
        <w:ind w:left="504" w:leftChars="220" w:hanging="42" w:hangingChars="20"/>
        <w:rPr>
          <w:rFonts w:ascii="Arial" w:hAnsi="Arial"/>
          <w:sz w:val="21"/>
          <w:lang w:eastAsia="zh-CN"/>
        </w:rPr>
      </w:pPr>
      <w:r>
        <w:rPr>
          <w:rFonts w:ascii="Arial" w:hAnsi="Arial"/>
          <w:sz w:val="21"/>
          <w:lang w:eastAsia="zh-CN"/>
        </w:rPr>
        <w:t>2）买方收到卖方提交的履约保证金；</w:t>
      </w:r>
    </w:p>
    <w:p>
      <w:pPr>
        <w:pStyle w:val="14"/>
        <w:snapToGrid w:val="0"/>
        <w:spacing w:line="360" w:lineRule="auto"/>
        <w:ind w:firstLine="525" w:firstLineChars="250"/>
        <w:rPr>
          <w:rFonts w:ascii="Arial" w:hAnsi="Arial"/>
          <w:sz w:val="21"/>
          <w:lang w:eastAsia="zh-CN"/>
        </w:rPr>
      </w:pPr>
      <w:r>
        <w:rPr>
          <w:rFonts w:ascii="Arial" w:hAnsi="Arial"/>
          <w:sz w:val="21"/>
          <w:lang w:eastAsia="zh-CN"/>
        </w:rPr>
        <w:t>3）买方在取得有关主管部门批准后向卖方发出书面合同生效确认函。</w:t>
      </w:r>
    </w:p>
    <w:p>
      <w:pPr>
        <w:pStyle w:val="14"/>
        <w:numPr>
          <w:ilvl w:val="0"/>
          <w:numId w:val="42"/>
        </w:numPr>
        <w:snapToGrid w:val="0"/>
        <w:spacing w:line="360" w:lineRule="auto"/>
        <w:rPr>
          <w:rFonts w:ascii="Arial" w:hAnsi="Arial"/>
          <w:sz w:val="21"/>
          <w:lang w:eastAsia="zh-CN"/>
        </w:rPr>
      </w:pPr>
      <w:r>
        <w:rPr>
          <w:rFonts w:ascii="Arial" w:hAnsi="Arial"/>
          <w:sz w:val="21"/>
          <w:lang w:eastAsia="zh-CN"/>
        </w:rPr>
        <w:t>卖方须按技术规格中的规定，向买方提供与合同项下设备有关的现场安装调试、技术服务、培训等其他相关服务。</w:t>
      </w:r>
    </w:p>
    <w:p>
      <w:pPr>
        <w:pStyle w:val="14"/>
        <w:numPr>
          <w:ilvl w:val="0"/>
          <w:numId w:val="42"/>
        </w:numPr>
        <w:snapToGrid w:val="0"/>
        <w:spacing w:line="360" w:lineRule="auto"/>
        <w:rPr>
          <w:rFonts w:ascii="Arial" w:hAnsi="Arial"/>
          <w:sz w:val="21"/>
          <w:lang w:eastAsia="zh-CN"/>
        </w:rPr>
      </w:pPr>
      <w:r>
        <w:rPr>
          <w:rFonts w:ascii="Arial" w:hAnsi="Arial"/>
          <w:sz w:val="21"/>
          <w:lang w:eastAsia="zh-CN"/>
        </w:rPr>
        <w:t xml:space="preserve">商务合同应包括买方最后确认的价格条款和付款方式。 </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合同终止与暂停</w:t>
      </w:r>
    </w:p>
    <w:p>
      <w:pPr>
        <w:numPr>
          <w:ilvl w:val="0"/>
          <w:numId w:val="43"/>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合同终止</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当买卖双方完成了合同中规定的责任和义务，合同应终止。</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违约通知</w:t>
      </w:r>
    </w:p>
    <w:p>
      <w:pPr>
        <w:autoSpaceDE w:val="0"/>
        <w:autoSpaceDN w:val="0"/>
        <w:adjustRightInd w:val="0"/>
        <w:snapToGrid w:val="0"/>
        <w:spacing w:line="360" w:lineRule="auto"/>
        <w:ind w:firstLine="420" w:firstLineChars="200"/>
        <w:rPr>
          <w:rFonts w:ascii="Arial" w:hAnsi="Arial"/>
          <w:szCs w:val="21"/>
        </w:rPr>
      </w:pPr>
      <w:r>
        <w:rPr>
          <w:rFonts w:hint="eastAsia" w:ascii="Arial" w:hAnsi="Arial" w:cs="宋体"/>
          <w:kern w:val="0"/>
          <w:szCs w:val="21"/>
        </w:rPr>
        <w:t>如果卖方未按合同执行或因疏忽而未能履行合同项下义务以致严重影响项目进行时，买方将通知卖方，要求补救上述失误或疏忽。</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 xml:space="preserve">卖方违约时终止    </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如果卖方：</w:t>
      </w:r>
    </w:p>
    <w:p>
      <w:pPr>
        <w:numPr>
          <w:ilvl w:val="0"/>
          <w:numId w:val="44"/>
        </w:numPr>
        <w:autoSpaceDE w:val="0"/>
        <w:autoSpaceDN w:val="0"/>
        <w:adjustRightInd w:val="0"/>
        <w:snapToGrid w:val="0"/>
        <w:spacing w:line="360" w:lineRule="auto"/>
        <w:ind w:firstLine="420" w:firstLineChars="200"/>
        <w:rPr>
          <w:rFonts w:ascii="Arial" w:hAnsi="Arial" w:cs="宋体"/>
          <w:kern w:val="0"/>
          <w:szCs w:val="21"/>
        </w:rPr>
      </w:pPr>
      <w:r>
        <w:rPr>
          <w:rFonts w:hint="eastAsia" w:ascii="Arial" w:hAnsi="Arial" w:cs="宋体"/>
          <w:kern w:val="0"/>
          <w:szCs w:val="21"/>
        </w:rPr>
        <w:t>在十五天内未能遵守本合同条款第28.2条的通知，或</w:t>
      </w:r>
    </w:p>
    <w:p>
      <w:pPr>
        <w:numPr>
          <w:ilvl w:val="0"/>
          <w:numId w:val="44"/>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没有买方的书面同意转让合同或将整个工程分包出去，或</w:t>
      </w:r>
    </w:p>
    <w:p>
      <w:pPr>
        <w:numPr>
          <w:ilvl w:val="0"/>
          <w:numId w:val="44"/>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破产或无力偿还债务，收到法院对他发出的宣告破产并指定破产财产管理人的命令或与债权人达成有关协议，或为了其债权人的利益在财产管理人、财产委托人或财务管理人的监督下营业或停业清理；</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则买方向卖方发出通知，七(7)天后终止合同，并将卖方逐出现场。</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任何此种驱逐或终止都不应损害合同规定的买方或卖方的任何其它权利或权力。在此种终止后，买方可自己或由任何其他承包商完成合同。</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在合同执行完成之前，买方没有义务向卖方支付任何合同约定内容以外的款项。</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买方违约时的终止</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如果买方：</w:t>
      </w:r>
    </w:p>
    <w:p>
      <w:pPr>
        <w:numPr>
          <w:ilvl w:val="0"/>
          <w:numId w:val="45"/>
        </w:numPr>
        <w:autoSpaceDE w:val="0"/>
        <w:autoSpaceDN w:val="0"/>
        <w:adjustRightInd w:val="0"/>
        <w:snapToGrid w:val="0"/>
        <w:spacing w:line="360" w:lineRule="auto"/>
        <w:ind w:firstLine="420" w:firstLineChars="200"/>
        <w:rPr>
          <w:rFonts w:ascii="Arial" w:hAnsi="Arial" w:cs="宋体"/>
          <w:kern w:val="0"/>
          <w:szCs w:val="21"/>
        </w:rPr>
      </w:pPr>
      <w:r>
        <w:rPr>
          <w:rFonts w:hint="eastAsia" w:ascii="Arial" w:hAnsi="Arial" w:cs="宋体"/>
          <w:kern w:val="0"/>
          <w:szCs w:val="21"/>
        </w:rPr>
        <w:t>破产或无力偿还债务，收到法院对他发出的宣告破产并指定破产财产管理人的命令或与债权人达成有关协议，或为了其债权人的利益在财产管理人、财产委托人或财务管理人的监督下营业或停业清理；或</w:t>
      </w:r>
    </w:p>
    <w:p>
      <w:pPr>
        <w:numPr>
          <w:ilvl w:val="0"/>
          <w:numId w:val="45"/>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一直未履行其本合同项下义务。</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卖方在向买方发出买方违约通知十五天后可终止合同，任何此类终止均不应损害合同项下买方的任何其它权利。</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在发生本条款第28.5条所述终止时，卖方应有权立即将在现场的所有卖方的设备运离。</w:t>
      </w:r>
    </w:p>
    <w:p>
      <w:pPr>
        <w:numPr>
          <w:ilvl w:val="0"/>
          <w:numId w:val="43"/>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合同暂停</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买方可随时指示卖方：</w:t>
      </w:r>
    </w:p>
    <w:p>
      <w:pPr>
        <w:numPr>
          <w:ilvl w:val="0"/>
          <w:numId w:val="46"/>
        </w:numPr>
        <w:autoSpaceDE w:val="0"/>
        <w:autoSpaceDN w:val="0"/>
        <w:adjustRightInd w:val="0"/>
        <w:snapToGrid w:val="0"/>
        <w:spacing w:line="360" w:lineRule="auto"/>
        <w:ind w:firstLine="420" w:firstLineChars="200"/>
        <w:rPr>
          <w:rFonts w:ascii="Arial" w:hAnsi="Arial" w:cs="宋体"/>
          <w:kern w:val="0"/>
          <w:szCs w:val="21"/>
        </w:rPr>
      </w:pPr>
      <w:r>
        <w:rPr>
          <w:rFonts w:hint="eastAsia" w:ascii="Arial" w:hAnsi="Arial" w:cs="宋体"/>
          <w:kern w:val="0"/>
          <w:szCs w:val="21"/>
        </w:rPr>
        <w:t>暂停提供合同货物及服务；或</w:t>
      </w:r>
    </w:p>
    <w:p>
      <w:pPr>
        <w:numPr>
          <w:ilvl w:val="0"/>
          <w:numId w:val="46"/>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暂停发运进度计划中规定时间(或者如未规定时间，按拟定的适当发运时间)准备运往现场的合同货物或卖方的设备；或</w:t>
      </w:r>
    </w:p>
    <w:p>
      <w:pPr>
        <w:numPr>
          <w:ilvl w:val="0"/>
          <w:numId w:val="46"/>
        </w:num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暂停安装业已运至现场的合同货物。</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当阻止卖方按进度计划发运或安装合同货物时，即应认为买方已下达了暂时停工的指令，除非此类阻止是由于卖方的违约引起。</w:t>
      </w:r>
    </w:p>
    <w:p>
      <w:pPr>
        <w:autoSpaceDE w:val="0"/>
        <w:autoSpaceDN w:val="0"/>
        <w:adjustRightInd w:val="0"/>
        <w:snapToGrid w:val="0"/>
        <w:spacing w:line="360" w:lineRule="auto"/>
        <w:ind w:firstLine="420" w:firstLineChars="200"/>
        <w:rPr>
          <w:rFonts w:ascii="Arial" w:hAnsi="Arial"/>
          <w:kern w:val="0"/>
          <w:szCs w:val="21"/>
        </w:rPr>
      </w:pPr>
      <w:r>
        <w:rPr>
          <w:rFonts w:hint="eastAsia" w:ascii="Arial" w:hAnsi="Arial" w:cs="宋体"/>
          <w:kern w:val="0"/>
          <w:szCs w:val="21"/>
        </w:rPr>
        <w:t>在暂时停工期间，卖方应保护并保障处在卖方的场地或其它地方或现场(视情况而定)受到影响的工程或合同货物免受任何损蚀、损失或损害。</w:t>
      </w:r>
    </w:p>
    <w:p>
      <w:pPr>
        <w:autoSpaceDE w:val="0"/>
        <w:autoSpaceDN w:val="0"/>
        <w:adjustRightInd w:val="0"/>
        <w:snapToGrid w:val="0"/>
        <w:spacing w:line="360" w:lineRule="auto"/>
        <w:ind w:left="342" w:hanging="342" w:hangingChars="163"/>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保险</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本合同下提供的货物应由卖方对其在制造、购置、运输、存放及交货工程中的毁损或灭失以完全重置价格用人民币进行全面保险。</w:t>
      </w:r>
    </w:p>
    <w:p>
      <w:pPr>
        <w:numPr>
          <w:ilvl w:val="0"/>
          <w:numId w:val="47"/>
        </w:numPr>
        <w:autoSpaceDE w:val="0"/>
        <w:autoSpaceDN w:val="0"/>
        <w:adjustRightInd w:val="0"/>
        <w:snapToGrid w:val="0"/>
        <w:spacing w:line="360" w:lineRule="auto"/>
        <w:rPr>
          <w:rFonts w:ascii="Arial" w:hAnsi="Arial"/>
          <w:szCs w:val="21"/>
        </w:rPr>
      </w:pPr>
      <w:r>
        <w:rPr>
          <w:rFonts w:hint="eastAsia" w:ascii="Arial" w:hAnsi="Arial" w:cs="宋体"/>
          <w:kern w:val="0"/>
          <w:szCs w:val="21"/>
        </w:rPr>
        <w:t>卖方应对现场为系统设备和材料进行安装、测试和试运行等提供服务的卖方人员投保人身险及其它有关的险别。</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买方人员参加联络设计会议、监造、出厂检验和培训的人身保险及其它险由买方负责。</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卖方应在买方要求的任何时间，出示根据合同要求其取得的任何保险单或保险证明以及保险费的收据。</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如果卖方未能出示合同规定的保险范围证明，则买方可办理此类保险并保持其有效。买方为此目的支付的保险费应从合同价中扣除。</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本条款规定的投保所需的全部保险费均由卖方支付。</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卖方应在资信良好可靠、有能力承保并为买方接受、认可的保险公司投保。</w:t>
      </w:r>
    </w:p>
    <w:p>
      <w:pPr>
        <w:numPr>
          <w:ilvl w:val="0"/>
          <w:numId w:val="47"/>
        </w:numPr>
        <w:autoSpaceDE w:val="0"/>
        <w:autoSpaceDN w:val="0"/>
        <w:adjustRightInd w:val="0"/>
        <w:snapToGrid w:val="0"/>
        <w:spacing w:line="360" w:lineRule="auto"/>
        <w:rPr>
          <w:rFonts w:ascii="Arial" w:hAnsi="Arial"/>
          <w:kern w:val="0"/>
          <w:szCs w:val="21"/>
        </w:rPr>
      </w:pPr>
      <w:r>
        <w:rPr>
          <w:rFonts w:hint="eastAsia" w:ascii="Arial" w:hAnsi="Arial" w:cs="宋体"/>
          <w:kern w:val="0"/>
          <w:szCs w:val="21"/>
        </w:rPr>
        <w:t>本条款所列的投保手续以及保险索赔由卖方负责办理。</w:t>
      </w:r>
    </w:p>
    <w:p>
      <w:pPr>
        <w:numPr>
          <w:ilvl w:val="0"/>
          <w:numId w:val="4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卖方应尽全力进行保险安排，以保证索赔事件发生后在短时间内予以妥善解决，并使买方的利益得到充分保障。</w:t>
      </w:r>
    </w:p>
    <w:p>
      <w:pPr>
        <w:numPr>
          <w:ilvl w:val="0"/>
          <w:numId w:val="47"/>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合同另有约定的从其约定。</w:t>
      </w:r>
    </w:p>
    <w:p>
      <w:pPr>
        <w:autoSpaceDE w:val="0"/>
        <w:autoSpaceDN w:val="0"/>
        <w:adjustRightInd w:val="0"/>
        <w:snapToGrid w:val="0"/>
        <w:spacing w:line="360" w:lineRule="auto"/>
        <w:ind w:left="400"/>
        <w:rPr>
          <w:rFonts w:ascii="Arial" w:hAnsi="Arial" w:cs="宋体"/>
          <w:kern w:val="0"/>
          <w:szCs w:val="21"/>
        </w:rPr>
      </w:pPr>
    </w:p>
    <w:p>
      <w:pPr>
        <w:numPr>
          <w:ilvl w:val="0"/>
          <w:numId w:val="6"/>
        </w:numPr>
        <w:autoSpaceDE w:val="0"/>
        <w:autoSpaceDN w:val="0"/>
        <w:adjustRightInd w:val="0"/>
        <w:snapToGrid w:val="0"/>
        <w:spacing w:line="360" w:lineRule="auto"/>
        <w:ind w:firstLine="0"/>
        <w:rPr>
          <w:rFonts w:ascii="Arial" w:hAnsi="Arial" w:cs="宋体"/>
          <w:b/>
          <w:bCs/>
          <w:kern w:val="0"/>
          <w:szCs w:val="21"/>
        </w:rPr>
      </w:pPr>
      <w:r>
        <w:rPr>
          <w:rFonts w:hint="eastAsia" w:ascii="Arial" w:hAnsi="Arial" w:cs="宋体"/>
          <w:b/>
          <w:bCs/>
          <w:kern w:val="0"/>
          <w:szCs w:val="21"/>
        </w:rPr>
        <w:t>施工安全</w:t>
      </w:r>
    </w:p>
    <w:p>
      <w:pPr>
        <w:numPr>
          <w:ilvl w:val="0"/>
          <w:numId w:val="4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卖方须自行办理当地规定的有关进场施工手续。</w:t>
      </w:r>
    </w:p>
    <w:p>
      <w:pPr>
        <w:numPr>
          <w:ilvl w:val="0"/>
          <w:numId w:val="48"/>
        </w:numPr>
        <w:autoSpaceDE w:val="0"/>
        <w:autoSpaceDN w:val="0"/>
        <w:adjustRightInd w:val="0"/>
        <w:snapToGrid w:val="0"/>
        <w:spacing w:line="360" w:lineRule="auto"/>
        <w:rPr>
          <w:rFonts w:ascii="Arial" w:hAnsi="Arial" w:cs="宋体"/>
          <w:kern w:val="0"/>
          <w:szCs w:val="21"/>
        </w:rPr>
      </w:pPr>
      <w:r>
        <w:rPr>
          <w:rFonts w:hint="eastAsia" w:ascii="Arial" w:hAnsi="Arial" w:cs="宋体"/>
          <w:kern w:val="0"/>
          <w:szCs w:val="21"/>
        </w:rPr>
        <w:t>现场施工过程中，须接受相关监管部门及监理单位的监督检查。</w:t>
      </w:r>
    </w:p>
    <w:p>
      <w:pPr>
        <w:rPr>
          <w:rFonts w:ascii="Arial" w:hAnsi="Arial" w:cs="宋体"/>
          <w:kern w:val="0"/>
          <w:szCs w:val="21"/>
        </w:rPr>
      </w:pPr>
      <w:r>
        <w:rPr>
          <w:rFonts w:hint="eastAsia" w:ascii="Arial" w:hAnsi="Arial" w:cs="宋体"/>
          <w:kern w:val="0"/>
          <w:szCs w:val="21"/>
        </w:rPr>
        <w:t>卖方应制定并遵守安全生产，文明施工的规章制度，</w:t>
      </w:r>
      <w:r>
        <w:rPr>
          <w:rFonts w:hint="eastAsia" w:ascii="Arial" w:hAnsi="Arial" w:cs="宋体"/>
          <w:kern w:val="0"/>
          <w:szCs w:val="21"/>
          <w:highlight w:val="yellow"/>
        </w:rPr>
        <w:t>施工期间发生安全问题由卖方承担责任</w:t>
      </w:r>
      <w:r>
        <w:rPr>
          <w:rFonts w:hint="eastAsia" w:ascii="Arial" w:hAnsi="Arial" w:cs="宋体"/>
          <w:kern w:val="0"/>
          <w:szCs w:val="21"/>
        </w:rPr>
        <w:t>。</w:t>
      </w:r>
    </w:p>
    <w:p>
      <w:pPr>
        <w:rPr>
          <w:rFonts w:ascii="Arial" w:hAnsi="Arial" w:cs="宋体"/>
          <w:kern w:val="0"/>
          <w:szCs w:val="21"/>
        </w:rPr>
      </w:pPr>
    </w:p>
    <w:p>
      <w:pPr>
        <w:rPr>
          <w:rFonts w:ascii="Arial" w:hAnsi="Arial" w:cs="宋体"/>
          <w:kern w:val="0"/>
          <w:szCs w:val="21"/>
        </w:rPr>
      </w:pPr>
    </w:p>
    <w:p>
      <w:pPr>
        <w:snapToGrid w:val="0"/>
        <w:spacing w:line="360" w:lineRule="auto"/>
        <w:rPr>
          <w:rFonts w:ascii="Arial" w:hAnsi="Arial"/>
          <w:szCs w:val="21"/>
        </w:rPr>
      </w:pPr>
      <w:r>
        <w:rPr>
          <w:rFonts w:hint="eastAsia" w:ascii="Arial" w:hAnsi="Arial" w:cs="宋体"/>
          <w:kern w:val="0"/>
          <w:szCs w:val="21"/>
        </w:rPr>
        <w:br w:type="page"/>
      </w:r>
      <w:r>
        <w:rPr>
          <w:rFonts w:hint="eastAsia" w:ascii="Arial" w:hAnsi="Arial" w:cs="宋体"/>
          <w:kern w:val="0"/>
          <w:szCs w:val="21"/>
        </w:rPr>
        <w:t>合同</w:t>
      </w:r>
      <w:r>
        <w:rPr>
          <w:rFonts w:hint="eastAsia" w:ascii="Arial" w:hAnsi="Arial"/>
          <w:szCs w:val="21"/>
        </w:rPr>
        <w:t>附件1-供货清单</w:t>
      </w:r>
    </w:p>
    <w:tbl>
      <w:tblPr>
        <w:tblStyle w:val="25"/>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1497"/>
        <w:gridCol w:w="1115"/>
        <w:gridCol w:w="1483"/>
        <w:gridCol w:w="1108"/>
        <w:gridCol w:w="1582"/>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555" w:type="dxa"/>
            <w:shd w:val="clear" w:color="auto" w:fill="auto"/>
            <w:textDirection w:val="tbRlV"/>
            <w:vAlign w:val="center"/>
          </w:tcPr>
          <w:p>
            <w:pPr>
              <w:spacing w:line="221" w:lineRule="auto"/>
              <w:jc w:val="center"/>
              <w:rPr>
                <w:rFonts w:ascii="宋体" w:hAnsi="宋体" w:cs="宋体"/>
                <w:spacing w:val="1"/>
                <w:szCs w:val="21"/>
              </w:rPr>
            </w:pPr>
            <w:r>
              <w:rPr>
                <w:rFonts w:ascii="宋体" w:hAnsi="宋体" w:cs="宋体"/>
                <w:spacing w:val="1"/>
                <w:szCs w:val="21"/>
              </w:rPr>
              <w:t>序 号</w:t>
            </w:r>
          </w:p>
        </w:tc>
        <w:tc>
          <w:tcPr>
            <w:tcW w:w="1497"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产品名称</w:t>
            </w:r>
          </w:p>
        </w:tc>
        <w:tc>
          <w:tcPr>
            <w:tcW w:w="1115" w:type="dxa"/>
            <w:shd w:val="clear" w:color="auto" w:fill="auto"/>
            <w:vAlign w:val="center"/>
          </w:tcPr>
          <w:p>
            <w:pPr>
              <w:spacing w:line="221" w:lineRule="auto"/>
              <w:jc w:val="center"/>
              <w:rPr>
                <w:rFonts w:ascii="宋体" w:hAnsi="宋体" w:cs="宋体"/>
                <w:spacing w:val="1"/>
                <w:szCs w:val="21"/>
              </w:rPr>
            </w:pPr>
            <w:r>
              <w:rPr>
                <w:rFonts w:hint="eastAsia" w:ascii="宋体" w:hAnsi="宋体" w:cs="宋体"/>
                <w:spacing w:val="1"/>
                <w:szCs w:val="21"/>
              </w:rPr>
              <w:t>产地品牌</w:t>
            </w:r>
          </w:p>
        </w:tc>
        <w:tc>
          <w:tcPr>
            <w:tcW w:w="1483"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额定参数</w:t>
            </w:r>
          </w:p>
        </w:tc>
        <w:tc>
          <w:tcPr>
            <w:tcW w:w="1108"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数量</w:t>
            </w:r>
          </w:p>
        </w:tc>
        <w:tc>
          <w:tcPr>
            <w:tcW w:w="1582"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综合单 价(人民币元 )</w:t>
            </w:r>
          </w:p>
        </w:tc>
        <w:tc>
          <w:tcPr>
            <w:tcW w:w="1475"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合价</w:t>
            </w:r>
          </w:p>
          <w:p>
            <w:pPr>
              <w:spacing w:line="221" w:lineRule="auto"/>
              <w:jc w:val="center"/>
              <w:rPr>
                <w:rFonts w:ascii="宋体" w:hAnsi="宋体" w:cs="宋体"/>
                <w:spacing w:val="1"/>
                <w:szCs w:val="21"/>
              </w:rPr>
            </w:pPr>
            <w:r>
              <w:rPr>
                <w:rFonts w:ascii="宋体" w:hAnsi="宋体" w:cs="宋体"/>
                <w:spacing w:val="1"/>
                <w:szCs w:val="21"/>
              </w:rPr>
              <w:t>(人民</w:t>
            </w:r>
            <w:r>
              <w:rPr>
                <w:rFonts w:hint="eastAsia" w:ascii="宋体" w:hAnsi="宋体" w:cs="宋体"/>
                <w:spacing w:val="1"/>
                <w:szCs w:val="21"/>
              </w:rPr>
              <w:t>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55" w:type="dxa"/>
            <w:shd w:val="clear" w:color="auto" w:fill="auto"/>
            <w:vAlign w:val="center"/>
          </w:tcPr>
          <w:p>
            <w:pPr>
              <w:spacing w:before="68" w:line="184" w:lineRule="auto"/>
              <w:jc w:val="center"/>
              <w:rPr>
                <w:rFonts w:ascii="宋体" w:hAnsi="宋体" w:cs="宋体"/>
                <w:szCs w:val="21"/>
              </w:rPr>
            </w:pPr>
            <w:r>
              <w:rPr>
                <w:rFonts w:ascii="宋体" w:hAnsi="宋体" w:cs="宋体"/>
                <w:szCs w:val="21"/>
              </w:rPr>
              <w:t>1</w:t>
            </w:r>
          </w:p>
        </w:tc>
        <w:tc>
          <w:tcPr>
            <w:tcW w:w="1497" w:type="dxa"/>
            <w:shd w:val="clear" w:color="auto" w:fill="auto"/>
            <w:vAlign w:val="center"/>
          </w:tcPr>
          <w:p>
            <w:pPr>
              <w:spacing w:line="221" w:lineRule="auto"/>
              <w:jc w:val="center"/>
              <w:rPr>
                <w:rFonts w:ascii="宋体" w:hAnsi="宋体" w:cs="宋体"/>
                <w:szCs w:val="21"/>
              </w:rPr>
            </w:pPr>
          </w:p>
        </w:tc>
        <w:tc>
          <w:tcPr>
            <w:tcW w:w="1115" w:type="dxa"/>
            <w:shd w:val="clear" w:color="auto" w:fill="auto"/>
            <w:vAlign w:val="center"/>
          </w:tcPr>
          <w:p>
            <w:pPr>
              <w:spacing w:line="220" w:lineRule="auto"/>
              <w:ind w:left="113"/>
              <w:jc w:val="center"/>
              <w:rPr>
                <w:rFonts w:ascii="宋体" w:hAnsi="宋体" w:cs="宋体"/>
                <w:spacing w:val="4"/>
                <w:szCs w:val="21"/>
              </w:rPr>
            </w:pPr>
          </w:p>
        </w:tc>
        <w:tc>
          <w:tcPr>
            <w:tcW w:w="1483" w:type="dxa"/>
            <w:shd w:val="clear" w:color="auto" w:fill="auto"/>
            <w:vAlign w:val="center"/>
          </w:tcPr>
          <w:p>
            <w:pPr>
              <w:spacing w:line="220" w:lineRule="auto"/>
              <w:ind w:left="113"/>
              <w:jc w:val="center"/>
              <w:rPr>
                <w:rFonts w:ascii="宋体" w:hAnsi="宋体" w:cs="宋体"/>
                <w:spacing w:val="4"/>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183" w:lineRule="auto"/>
              <w:jc w:val="center"/>
              <w:rPr>
                <w:rFonts w:ascii="宋体" w:hAnsi="宋体" w:cs="宋体"/>
                <w:spacing w:val="-2"/>
                <w:szCs w:val="21"/>
              </w:rPr>
            </w:pPr>
          </w:p>
        </w:tc>
        <w:tc>
          <w:tcPr>
            <w:tcW w:w="1475" w:type="dxa"/>
            <w:shd w:val="clear" w:color="auto" w:fill="auto"/>
            <w:vAlign w:val="center"/>
          </w:tcPr>
          <w:p>
            <w:pPr>
              <w:spacing w:line="183" w:lineRule="auto"/>
              <w:jc w:val="center"/>
              <w:rPr>
                <w:rFonts w:ascii="宋体" w:hAnsi="宋体" w:cs="宋体"/>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555" w:type="dxa"/>
            <w:shd w:val="clear" w:color="auto" w:fill="auto"/>
            <w:vAlign w:val="center"/>
          </w:tcPr>
          <w:p>
            <w:pPr>
              <w:spacing w:before="275" w:line="183" w:lineRule="auto"/>
              <w:jc w:val="center"/>
              <w:rPr>
                <w:rFonts w:ascii="宋体" w:hAnsi="宋体" w:cs="宋体"/>
                <w:szCs w:val="21"/>
              </w:rPr>
            </w:pPr>
            <w:r>
              <w:rPr>
                <w:rFonts w:ascii="宋体" w:hAnsi="宋体" w:cs="宋体"/>
                <w:szCs w:val="21"/>
              </w:rPr>
              <w:t>2</w:t>
            </w:r>
          </w:p>
        </w:tc>
        <w:tc>
          <w:tcPr>
            <w:tcW w:w="1497" w:type="dxa"/>
            <w:shd w:val="clear" w:color="auto" w:fill="auto"/>
            <w:vAlign w:val="center"/>
          </w:tcPr>
          <w:p>
            <w:pPr>
              <w:spacing w:line="221" w:lineRule="auto"/>
              <w:jc w:val="center"/>
              <w:rPr>
                <w:rFonts w:ascii="宋体" w:hAnsi="宋体" w:cs="宋体"/>
                <w:spacing w:val="1"/>
                <w:szCs w:val="21"/>
              </w:rPr>
            </w:pPr>
          </w:p>
        </w:tc>
        <w:tc>
          <w:tcPr>
            <w:tcW w:w="1115" w:type="dxa"/>
            <w:shd w:val="clear" w:color="auto" w:fill="auto"/>
            <w:vAlign w:val="center"/>
          </w:tcPr>
          <w:p>
            <w:pPr>
              <w:spacing w:line="220" w:lineRule="auto"/>
              <w:ind w:left="113"/>
              <w:jc w:val="center"/>
              <w:rPr>
                <w:rFonts w:ascii="宋体" w:hAnsi="宋体" w:cs="宋体"/>
                <w:spacing w:val="4"/>
                <w:szCs w:val="21"/>
              </w:rPr>
            </w:pPr>
          </w:p>
        </w:tc>
        <w:tc>
          <w:tcPr>
            <w:tcW w:w="1483" w:type="dxa"/>
            <w:shd w:val="clear" w:color="auto" w:fill="auto"/>
            <w:vAlign w:val="center"/>
          </w:tcPr>
          <w:p>
            <w:pPr>
              <w:spacing w:line="220" w:lineRule="auto"/>
              <w:ind w:left="113"/>
              <w:jc w:val="center"/>
              <w:rPr>
                <w:rFonts w:ascii="宋体" w:hAnsi="宋体" w:cs="宋体"/>
                <w:spacing w:val="4"/>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183" w:lineRule="auto"/>
              <w:jc w:val="center"/>
              <w:rPr>
                <w:rFonts w:ascii="宋体" w:hAnsi="宋体" w:cs="宋体"/>
                <w:spacing w:val="-2"/>
                <w:szCs w:val="21"/>
              </w:rPr>
            </w:pPr>
          </w:p>
        </w:tc>
        <w:tc>
          <w:tcPr>
            <w:tcW w:w="1475" w:type="dxa"/>
            <w:shd w:val="clear" w:color="auto" w:fill="auto"/>
            <w:vAlign w:val="center"/>
          </w:tcPr>
          <w:p>
            <w:pPr>
              <w:spacing w:line="183" w:lineRule="auto"/>
              <w:jc w:val="center"/>
              <w:rPr>
                <w:rFonts w:ascii="宋体" w:hAnsi="宋体" w:cs="宋体"/>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555" w:type="dxa"/>
            <w:shd w:val="clear" w:color="auto" w:fill="auto"/>
            <w:vAlign w:val="center"/>
          </w:tcPr>
          <w:p>
            <w:pPr>
              <w:spacing w:before="69" w:line="183" w:lineRule="auto"/>
              <w:ind w:left="195"/>
              <w:rPr>
                <w:rFonts w:ascii="宋体" w:hAnsi="宋体" w:cs="宋体"/>
                <w:szCs w:val="21"/>
              </w:rPr>
            </w:pPr>
            <w:r>
              <w:rPr>
                <w:rFonts w:ascii="宋体" w:hAnsi="宋体" w:cs="宋体"/>
                <w:szCs w:val="21"/>
              </w:rPr>
              <w:t>3</w:t>
            </w:r>
          </w:p>
        </w:tc>
        <w:tc>
          <w:tcPr>
            <w:tcW w:w="1497" w:type="dxa"/>
            <w:shd w:val="clear" w:color="auto" w:fill="auto"/>
            <w:vAlign w:val="center"/>
          </w:tcPr>
          <w:p>
            <w:pPr>
              <w:spacing w:line="221" w:lineRule="auto"/>
              <w:jc w:val="center"/>
              <w:rPr>
                <w:rFonts w:ascii="宋体" w:hAnsi="宋体" w:cs="宋体"/>
                <w:spacing w:val="1"/>
                <w:szCs w:val="21"/>
              </w:rPr>
            </w:pPr>
          </w:p>
        </w:tc>
        <w:tc>
          <w:tcPr>
            <w:tcW w:w="1115" w:type="dxa"/>
            <w:shd w:val="clear" w:color="auto" w:fill="auto"/>
            <w:vAlign w:val="center"/>
          </w:tcPr>
          <w:p>
            <w:pPr>
              <w:spacing w:before="151" w:line="402" w:lineRule="exact"/>
              <w:jc w:val="center"/>
              <w:rPr>
                <w:rFonts w:ascii="宋体" w:hAnsi="宋体" w:cs="宋体"/>
                <w:szCs w:val="21"/>
              </w:rPr>
            </w:pPr>
          </w:p>
        </w:tc>
        <w:tc>
          <w:tcPr>
            <w:tcW w:w="1483" w:type="dxa"/>
            <w:shd w:val="clear" w:color="auto" w:fill="auto"/>
            <w:vAlign w:val="center"/>
          </w:tcPr>
          <w:p>
            <w:pPr>
              <w:spacing w:before="68" w:line="185" w:lineRule="auto"/>
              <w:ind w:left="114"/>
              <w:jc w:val="center"/>
              <w:rPr>
                <w:rFonts w:ascii="宋体" w:hAnsi="宋体" w:cs="宋体"/>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183" w:lineRule="auto"/>
              <w:jc w:val="center"/>
              <w:rPr>
                <w:rFonts w:ascii="宋体" w:hAnsi="宋体" w:cs="宋体"/>
                <w:spacing w:val="-2"/>
                <w:szCs w:val="21"/>
              </w:rPr>
            </w:pPr>
          </w:p>
        </w:tc>
        <w:tc>
          <w:tcPr>
            <w:tcW w:w="1475" w:type="dxa"/>
            <w:shd w:val="clear" w:color="auto" w:fill="auto"/>
            <w:vAlign w:val="center"/>
          </w:tcPr>
          <w:p>
            <w:pPr>
              <w:spacing w:line="183" w:lineRule="auto"/>
              <w:jc w:val="center"/>
              <w:rPr>
                <w:rFonts w:ascii="宋体" w:hAnsi="宋体" w:cs="宋体"/>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55" w:type="dxa"/>
            <w:vMerge w:val="restart"/>
            <w:tcBorders>
              <w:bottom w:val="nil"/>
            </w:tcBorders>
            <w:shd w:val="clear" w:color="auto" w:fill="auto"/>
            <w:vAlign w:val="center"/>
          </w:tcPr>
          <w:p>
            <w:pPr>
              <w:spacing w:before="68" w:line="183" w:lineRule="auto"/>
              <w:jc w:val="center"/>
              <w:rPr>
                <w:rFonts w:ascii="宋体" w:hAnsi="宋体" w:cs="宋体"/>
                <w:szCs w:val="21"/>
              </w:rPr>
            </w:pPr>
            <w:r>
              <w:rPr>
                <w:rFonts w:ascii="宋体" w:hAnsi="宋体" w:cs="宋体"/>
                <w:szCs w:val="21"/>
              </w:rPr>
              <w:t>4</w:t>
            </w:r>
          </w:p>
        </w:tc>
        <w:tc>
          <w:tcPr>
            <w:tcW w:w="1497" w:type="dxa"/>
            <w:shd w:val="clear" w:color="auto" w:fill="auto"/>
            <w:vAlign w:val="center"/>
          </w:tcPr>
          <w:p>
            <w:pPr>
              <w:spacing w:line="221" w:lineRule="auto"/>
              <w:jc w:val="center"/>
              <w:rPr>
                <w:rFonts w:ascii="宋体" w:hAnsi="宋体" w:cs="宋体"/>
                <w:spacing w:val="1"/>
                <w:szCs w:val="21"/>
              </w:rPr>
            </w:pPr>
          </w:p>
        </w:tc>
        <w:tc>
          <w:tcPr>
            <w:tcW w:w="1115" w:type="dxa"/>
            <w:shd w:val="clear" w:color="auto" w:fill="auto"/>
            <w:vAlign w:val="center"/>
          </w:tcPr>
          <w:p>
            <w:pPr>
              <w:spacing w:line="380" w:lineRule="exact"/>
              <w:jc w:val="center"/>
              <w:rPr>
                <w:rFonts w:ascii="宋体" w:hAnsi="宋体" w:cs="宋体"/>
                <w:szCs w:val="21"/>
              </w:rPr>
            </w:pPr>
          </w:p>
        </w:tc>
        <w:tc>
          <w:tcPr>
            <w:tcW w:w="1483" w:type="dxa"/>
            <w:shd w:val="clear" w:color="auto" w:fill="auto"/>
            <w:vAlign w:val="center"/>
          </w:tcPr>
          <w:p>
            <w:pPr>
              <w:spacing w:before="69" w:line="184" w:lineRule="auto"/>
              <w:ind w:left="114"/>
              <w:jc w:val="center"/>
              <w:rPr>
                <w:rFonts w:ascii="宋体" w:hAnsi="宋体" w:cs="宋体"/>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183" w:lineRule="auto"/>
              <w:jc w:val="center"/>
              <w:rPr>
                <w:rFonts w:ascii="宋体" w:hAnsi="宋体" w:cs="宋体"/>
                <w:spacing w:val="-2"/>
                <w:szCs w:val="21"/>
              </w:rPr>
            </w:pPr>
          </w:p>
        </w:tc>
        <w:tc>
          <w:tcPr>
            <w:tcW w:w="1475" w:type="dxa"/>
            <w:shd w:val="clear" w:color="auto" w:fill="auto"/>
            <w:vAlign w:val="center"/>
          </w:tcPr>
          <w:p>
            <w:pPr>
              <w:spacing w:line="183" w:lineRule="auto"/>
              <w:jc w:val="center"/>
              <w:rPr>
                <w:rFonts w:ascii="宋体" w:hAnsi="宋体" w:cs="宋体"/>
                <w:spacing w:val="-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555" w:type="dxa"/>
            <w:vMerge w:val="continue"/>
            <w:tcBorders>
              <w:top w:val="nil"/>
            </w:tcBorders>
            <w:shd w:val="clear" w:color="auto" w:fill="auto"/>
            <w:vAlign w:val="center"/>
          </w:tcPr>
          <w:p>
            <w:pPr>
              <w:jc w:val="center"/>
              <w:rPr>
                <w:rFonts w:ascii="Arial"/>
              </w:rPr>
            </w:pPr>
          </w:p>
        </w:tc>
        <w:tc>
          <w:tcPr>
            <w:tcW w:w="1497" w:type="dxa"/>
            <w:shd w:val="clear" w:color="auto" w:fill="auto"/>
            <w:vAlign w:val="center"/>
          </w:tcPr>
          <w:p>
            <w:pPr>
              <w:spacing w:line="221" w:lineRule="auto"/>
              <w:jc w:val="center"/>
              <w:rPr>
                <w:rFonts w:ascii="宋体" w:hAnsi="宋体" w:cs="宋体"/>
                <w:spacing w:val="1"/>
                <w:szCs w:val="21"/>
              </w:rPr>
            </w:pPr>
          </w:p>
        </w:tc>
        <w:tc>
          <w:tcPr>
            <w:tcW w:w="1115" w:type="dxa"/>
            <w:shd w:val="clear" w:color="auto" w:fill="auto"/>
            <w:vAlign w:val="center"/>
          </w:tcPr>
          <w:p>
            <w:pPr>
              <w:spacing w:line="221" w:lineRule="auto"/>
              <w:jc w:val="center"/>
              <w:rPr>
                <w:rFonts w:ascii="宋体" w:hAnsi="宋体" w:cs="宋体"/>
                <w:spacing w:val="1"/>
                <w:szCs w:val="21"/>
              </w:rPr>
            </w:pPr>
          </w:p>
        </w:tc>
        <w:tc>
          <w:tcPr>
            <w:tcW w:w="1483" w:type="dxa"/>
            <w:shd w:val="clear" w:color="auto" w:fill="auto"/>
            <w:vAlign w:val="center"/>
          </w:tcPr>
          <w:p>
            <w:pPr>
              <w:spacing w:line="221" w:lineRule="auto"/>
              <w:jc w:val="center"/>
              <w:rPr>
                <w:rFonts w:ascii="宋体" w:hAnsi="宋体" w:cs="宋体"/>
                <w:spacing w:val="1"/>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221" w:lineRule="auto"/>
              <w:jc w:val="center"/>
              <w:rPr>
                <w:rFonts w:ascii="宋体" w:hAnsi="宋体" w:cs="宋体"/>
                <w:spacing w:val="1"/>
                <w:szCs w:val="21"/>
              </w:rPr>
            </w:pPr>
          </w:p>
        </w:tc>
        <w:tc>
          <w:tcPr>
            <w:tcW w:w="1475" w:type="dxa"/>
            <w:shd w:val="clear" w:color="auto" w:fill="auto"/>
            <w:vAlign w:val="center"/>
          </w:tcPr>
          <w:p>
            <w:pPr>
              <w:spacing w:line="221" w:lineRule="auto"/>
              <w:jc w:val="center"/>
              <w:rPr>
                <w:rFonts w:ascii="宋体" w:hAnsi="宋体" w:cs="宋体"/>
                <w:spacing w:val="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555" w:type="dxa"/>
            <w:shd w:val="clear" w:color="auto" w:fill="auto"/>
            <w:vAlign w:val="center"/>
          </w:tcPr>
          <w:p>
            <w:pPr>
              <w:spacing w:before="69" w:line="182" w:lineRule="auto"/>
              <w:jc w:val="center"/>
              <w:rPr>
                <w:rFonts w:ascii="宋体" w:hAnsi="宋体" w:cs="宋体"/>
                <w:szCs w:val="21"/>
              </w:rPr>
            </w:pPr>
            <w:r>
              <w:rPr>
                <w:rFonts w:ascii="宋体" w:hAnsi="宋体" w:cs="宋体"/>
                <w:szCs w:val="21"/>
              </w:rPr>
              <w:t>5</w:t>
            </w:r>
          </w:p>
        </w:tc>
        <w:tc>
          <w:tcPr>
            <w:tcW w:w="1497" w:type="dxa"/>
            <w:shd w:val="clear" w:color="auto" w:fill="auto"/>
            <w:vAlign w:val="center"/>
          </w:tcPr>
          <w:p>
            <w:pPr>
              <w:spacing w:line="221" w:lineRule="auto"/>
              <w:jc w:val="center"/>
              <w:rPr>
                <w:rFonts w:ascii="宋体" w:hAnsi="宋体" w:cs="宋体"/>
                <w:spacing w:val="1"/>
                <w:szCs w:val="21"/>
              </w:rPr>
            </w:pPr>
          </w:p>
        </w:tc>
        <w:tc>
          <w:tcPr>
            <w:tcW w:w="1115" w:type="dxa"/>
            <w:shd w:val="clear" w:color="auto" w:fill="auto"/>
            <w:vAlign w:val="center"/>
          </w:tcPr>
          <w:p>
            <w:pPr>
              <w:spacing w:line="221" w:lineRule="auto"/>
              <w:jc w:val="center"/>
              <w:rPr>
                <w:rFonts w:ascii="宋体" w:hAnsi="宋体" w:cs="宋体"/>
                <w:spacing w:val="1"/>
                <w:szCs w:val="21"/>
              </w:rPr>
            </w:pPr>
          </w:p>
        </w:tc>
        <w:tc>
          <w:tcPr>
            <w:tcW w:w="1483" w:type="dxa"/>
            <w:shd w:val="clear" w:color="auto" w:fill="auto"/>
            <w:vAlign w:val="center"/>
          </w:tcPr>
          <w:p>
            <w:pPr>
              <w:spacing w:line="221" w:lineRule="auto"/>
              <w:jc w:val="center"/>
              <w:rPr>
                <w:rFonts w:ascii="宋体" w:hAnsi="宋体" w:cs="宋体"/>
                <w:spacing w:val="1"/>
                <w:szCs w:val="21"/>
              </w:rPr>
            </w:pPr>
          </w:p>
        </w:tc>
        <w:tc>
          <w:tcPr>
            <w:tcW w:w="1108" w:type="dxa"/>
            <w:shd w:val="clear" w:color="auto" w:fill="auto"/>
            <w:vAlign w:val="center"/>
          </w:tcPr>
          <w:p>
            <w:pPr>
              <w:spacing w:line="220" w:lineRule="auto"/>
              <w:ind w:left="113"/>
              <w:jc w:val="center"/>
              <w:rPr>
                <w:rFonts w:ascii="宋体" w:hAnsi="宋体" w:cs="宋体"/>
                <w:spacing w:val="4"/>
                <w:szCs w:val="21"/>
              </w:rPr>
            </w:pPr>
          </w:p>
        </w:tc>
        <w:tc>
          <w:tcPr>
            <w:tcW w:w="1582" w:type="dxa"/>
            <w:shd w:val="clear" w:color="auto" w:fill="auto"/>
            <w:vAlign w:val="center"/>
          </w:tcPr>
          <w:p>
            <w:pPr>
              <w:spacing w:line="221" w:lineRule="auto"/>
              <w:jc w:val="center"/>
              <w:rPr>
                <w:rFonts w:ascii="宋体" w:hAnsi="宋体" w:cs="宋体"/>
                <w:spacing w:val="1"/>
                <w:szCs w:val="21"/>
              </w:rPr>
            </w:pPr>
          </w:p>
        </w:tc>
        <w:tc>
          <w:tcPr>
            <w:tcW w:w="1475" w:type="dxa"/>
            <w:shd w:val="clear" w:color="auto" w:fill="auto"/>
            <w:vAlign w:val="center"/>
          </w:tcPr>
          <w:p>
            <w:pPr>
              <w:spacing w:line="221" w:lineRule="auto"/>
              <w:jc w:val="center"/>
              <w:rPr>
                <w:rFonts w:ascii="宋体" w:hAnsi="宋体" w:cs="宋体"/>
                <w:spacing w:val="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555" w:type="dxa"/>
            <w:shd w:val="clear" w:color="auto" w:fill="auto"/>
            <w:vAlign w:val="center"/>
          </w:tcPr>
          <w:p>
            <w:pPr>
              <w:spacing w:before="270" w:line="183" w:lineRule="auto"/>
              <w:jc w:val="center"/>
              <w:rPr>
                <w:rFonts w:ascii="宋体" w:hAnsi="宋体" w:cs="宋体"/>
                <w:szCs w:val="21"/>
              </w:rPr>
            </w:pPr>
            <w:r>
              <w:rPr>
                <w:rFonts w:ascii="宋体" w:hAnsi="宋体" w:cs="宋体"/>
                <w:szCs w:val="21"/>
              </w:rPr>
              <w:t>6</w:t>
            </w:r>
          </w:p>
        </w:tc>
        <w:tc>
          <w:tcPr>
            <w:tcW w:w="2612" w:type="dxa"/>
            <w:gridSpan w:val="2"/>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安装/辅材</w:t>
            </w:r>
          </w:p>
        </w:tc>
        <w:tc>
          <w:tcPr>
            <w:tcW w:w="1483"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w:t>
            </w:r>
          </w:p>
        </w:tc>
        <w:tc>
          <w:tcPr>
            <w:tcW w:w="1108" w:type="dxa"/>
            <w:shd w:val="clear" w:color="auto" w:fill="auto"/>
            <w:vAlign w:val="center"/>
          </w:tcPr>
          <w:p>
            <w:pPr>
              <w:spacing w:line="220" w:lineRule="auto"/>
              <w:ind w:left="113"/>
              <w:jc w:val="center"/>
              <w:rPr>
                <w:rFonts w:ascii="宋体" w:hAnsi="宋体" w:cs="宋体"/>
                <w:spacing w:val="4"/>
                <w:szCs w:val="21"/>
              </w:rPr>
            </w:pPr>
            <w:r>
              <w:rPr>
                <w:rFonts w:ascii="宋体" w:hAnsi="宋体" w:cs="宋体"/>
                <w:spacing w:val="4"/>
                <w:szCs w:val="21"/>
              </w:rPr>
              <w:t>1项</w:t>
            </w:r>
          </w:p>
        </w:tc>
        <w:tc>
          <w:tcPr>
            <w:tcW w:w="1582" w:type="dxa"/>
            <w:shd w:val="clear" w:color="auto" w:fill="auto"/>
            <w:vAlign w:val="center"/>
          </w:tcPr>
          <w:p>
            <w:pPr>
              <w:spacing w:line="221" w:lineRule="auto"/>
              <w:jc w:val="center"/>
              <w:rPr>
                <w:rFonts w:ascii="宋体" w:hAnsi="宋体" w:cs="宋体"/>
                <w:spacing w:val="1"/>
                <w:szCs w:val="21"/>
              </w:rPr>
            </w:pPr>
          </w:p>
        </w:tc>
        <w:tc>
          <w:tcPr>
            <w:tcW w:w="1475" w:type="dxa"/>
            <w:shd w:val="clear" w:color="auto" w:fill="auto"/>
            <w:vAlign w:val="center"/>
          </w:tcPr>
          <w:p>
            <w:pPr>
              <w:spacing w:line="221" w:lineRule="auto"/>
              <w:jc w:val="center"/>
              <w:rPr>
                <w:rFonts w:ascii="宋体" w:hAnsi="宋体" w:cs="宋体"/>
                <w:spacing w:val="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555" w:type="dxa"/>
            <w:shd w:val="clear" w:color="auto" w:fill="auto"/>
            <w:vAlign w:val="center"/>
          </w:tcPr>
          <w:p>
            <w:pPr>
              <w:spacing w:before="68" w:line="182" w:lineRule="auto"/>
              <w:jc w:val="center"/>
              <w:rPr>
                <w:rFonts w:ascii="宋体" w:hAnsi="宋体" w:cs="宋体"/>
                <w:szCs w:val="21"/>
              </w:rPr>
            </w:pPr>
            <w:r>
              <w:rPr>
                <w:rFonts w:ascii="宋体" w:hAnsi="宋体" w:cs="宋体"/>
                <w:szCs w:val="21"/>
              </w:rPr>
              <w:t>7</w:t>
            </w:r>
          </w:p>
        </w:tc>
        <w:tc>
          <w:tcPr>
            <w:tcW w:w="2612" w:type="dxa"/>
            <w:gridSpan w:val="2"/>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其它为完成 本项目的一切费用</w:t>
            </w:r>
          </w:p>
        </w:tc>
        <w:tc>
          <w:tcPr>
            <w:tcW w:w="1483" w:type="dxa"/>
            <w:shd w:val="clear" w:color="auto" w:fill="auto"/>
            <w:vAlign w:val="center"/>
          </w:tcPr>
          <w:p>
            <w:pPr>
              <w:spacing w:line="221" w:lineRule="auto"/>
              <w:jc w:val="center"/>
              <w:rPr>
                <w:rFonts w:ascii="宋体" w:hAnsi="宋体" w:cs="宋体"/>
                <w:spacing w:val="1"/>
                <w:szCs w:val="21"/>
              </w:rPr>
            </w:pPr>
            <w:r>
              <w:rPr>
                <w:rFonts w:ascii="宋体" w:hAnsi="宋体" w:cs="宋体"/>
                <w:spacing w:val="1"/>
                <w:szCs w:val="21"/>
              </w:rPr>
              <w:t>/</w:t>
            </w:r>
          </w:p>
        </w:tc>
        <w:tc>
          <w:tcPr>
            <w:tcW w:w="1108" w:type="dxa"/>
            <w:shd w:val="clear" w:color="auto" w:fill="auto"/>
            <w:vAlign w:val="center"/>
          </w:tcPr>
          <w:p>
            <w:pPr>
              <w:spacing w:line="221" w:lineRule="auto"/>
              <w:jc w:val="center"/>
              <w:rPr>
                <w:rFonts w:ascii="宋体" w:hAnsi="宋体" w:cs="宋体"/>
                <w:spacing w:val="1"/>
                <w:szCs w:val="21"/>
              </w:rPr>
            </w:pPr>
          </w:p>
          <w:p>
            <w:pPr>
              <w:spacing w:line="221" w:lineRule="auto"/>
              <w:jc w:val="center"/>
              <w:rPr>
                <w:rFonts w:ascii="宋体" w:hAnsi="宋体" w:cs="宋体"/>
                <w:spacing w:val="1"/>
                <w:szCs w:val="21"/>
              </w:rPr>
            </w:pPr>
            <w:r>
              <w:rPr>
                <w:rFonts w:ascii="宋体" w:hAnsi="宋体" w:cs="宋体"/>
                <w:spacing w:val="1"/>
                <w:szCs w:val="21"/>
              </w:rPr>
              <w:t>1项</w:t>
            </w:r>
          </w:p>
        </w:tc>
        <w:tc>
          <w:tcPr>
            <w:tcW w:w="1582" w:type="dxa"/>
            <w:shd w:val="clear" w:color="auto" w:fill="auto"/>
            <w:vAlign w:val="center"/>
          </w:tcPr>
          <w:p>
            <w:pPr>
              <w:spacing w:line="221" w:lineRule="auto"/>
              <w:jc w:val="center"/>
              <w:rPr>
                <w:rFonts w:ascii="宋体" w:hAnsi="宋体" w:cs="宋体"/>
                <w:spacing w:val="1"/>
                <w:szCs w:val="21"/>
              </w:rPr>
            </w:pPr>
          </w:p>
        </w:tc>
        <w:tc>
          <w:tcPr>
            <w:tcW w:w="1475" w:type="dxa"/>
            <w:shd w:val="clear" w:color="auto" w:fill="auto"/>
            <w:vAlign w:val="center"/>
          </w:tcPr>
          <w:p>
            <w:pPr>
              <w:spacing w:line="221" w:lineRule="auto"/>
              <w:jc w:val="center"/>
              <w:rPr>
                <w:rFonts w:ascii="宋体" w:hAnsi="宋体" w:cs="宋体"/>
                <w:spacing w:val="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3167" w:type="dxa"/>
            <w:gridSpan w:val="3"/>
            <w:shd w:val="clear" w:color="auto" w:fill="auto"/>
            <w:vAlign w:val="center"/>
          </w:tcPr>
          <w:p>
            <w:pPr>
              <w:spacing w:line="221" w:lineRule="auto"/>
              <w:jc w:val="center"/>
              <w:rPr>
                <w:rFonts w:ascii="宋体" w:hAnsi="宋体" w:cs="宋体"/>
                <w:spacing w:val="1"/>
                <w:szCs w:val="21"/>
              </w:rPr>
            </w:pPr>
            <w:r>
              <w:rPr>
                <w:rFonts w:hint="eastAsia" w:ascii="宋体" w:hAnsi="宋体" w:cs="宋体"/>
                <w:spacing w:val="1"/>
                <w:szCs w:val="21"/>
              </w:rPr>
              <w:t>合计总价</w:t>
            </w:r>
          </w:p>
        </w:tc>
        <w:tc>
          <w:tcPr>
            <w:tcW w:w="5648" w:type="dxa"/>
            <w:gridSpan w:val="4"/>
            <w:shd w:val="clear" w:color="auto" w:fill="auto"/>
            <w:vAlign w:val="center"/>
          </w:tcPr>
          <w:p>
            <w:pPr>
              <w:spacing w:line="221" w:lineRule="auto"/>
              <w:jc w:val="center"/>
              <w:rPr>
                <w:rFonts w:ascii="宋体" w:hAnsi="宋体" w:cs="宋体"/>
                <w:spacing w:val="1"/>
                <w:szCs w:val="21"/>
              </w:rPr>
            </w:pPr>
          </w:p>
        </w:tc>
      </w:tr>
    </w:tbl>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p>
    <w:p>
      <w:pPr>
        <w:snapToGrid w:val="0"/>
        <w:spacing w:line="360" w:lineRule="auto"/>
        <w:rPr>
          <w:rFonts w:ascii="Arial" w:hAnsi="Arial"/>
          <w:szCs w:val="21"/>
        </w:rPr>
      </w:pPr>
      <w:r>
        <w:rPr>
          <w:rFonts w:hint="eastAsia" w:ascii="Arial" w:hAnsi="Arial"/>
          <w:szCs w:val="21"/>
        </w:rPr>
        <w:t>合同附件2-设备配置表：</w:t>
      </w:r>
    </w:p>
    <w:tbl>
      <w:tblPr>
        <w:tblStyle w:val="25"/>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2247"/>
        <w:gridCol w:w="1088"/>
        <w:gridCol w:w="1668"/>
        <w:gridCol w:w="2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654" w:type="dxa"/>
            <w:shd w:val="clear" w:color="auto" w:fill="auto"/>
          </w:tcPr>
          <w:p>
            <w:pPr>
              <w:spacing w:before="285" w:line="221" w:lineRule="auto"/>
              <w:ind w:left="84"/>
              <w:rPr>
                <w:rFonts w:ascii="宋体" w:hAnsi="宋体" w:cs="宋体"/>
                <w:sz w:val="23"/>
                <w:szCs w:val="23"/>
              </w:rPr>
            </w:pPr>
            <w:r>
              <w:rPr>
                <w:rFonts w:ascii="宋体" w:hAnsi="宋体" w:cs="宋体"/>
                <w:spacing w:val="7"/>
                <w:sz w:val="23"/>
                <w:szCs w:val="23"/>
              </w:rPr>
              <w:t>序号</w:t>
            </w:r>
          </w:p>
        </w:tc>
        <w:tc>
          <w:tcPr>
            <w:tcW w:w="2247" w:type="dxa"/>
            <w:shd w:val="clear" w:color="auto" w:fill="auto"/>
          </w:tcPr>
          <w:p>
            <w:pPr>
              <w:spacing w:before="284" w:line="219" w:lineRule="auto"/>
              <w:ind w:left="650"/>
              <w:rPr>
                <w:rFonts w:ascii="宋体" w:hAnsi="宋体" w:cs="宋体"/>
                <w:sz w:val="23"/>
                <w:szCs w:val="23"/>
              </w:rPr>
            </w:pPr>
            <w:r>
              <w:rPr>
                <w:rFonts w:ascii="宋体" w:hAnsi="宋体" w:cs="宋体"/>
                <w:spacing w:val="2"/>
                <w:sz w:val="23"/>
                <w:szCs w:val="23"/>
              </w:rPr>
              <w:t>部件名称</w:t>
            </w:r>
          </w:p>
        </w:tc>
        <w:tc>
          <w:tcPr>
            <w:tcW w:w="1088" w:type="dxa"/>
            <w:shd w:val="clear" w:color="auto" w:fill="auto"/>
          </w:tcPr>
          <w:p>
            <w:pPr>
              <w:spacing w:before="284" w:line="219" w:lineRule="auto"/>
              <w:ind w:left="304"/>
              <w:rPr>
                <w:rFonts w:ascii="宋体" w:hAnsi="宋体" w:cs="宋体"/>
                <w:sz w:val="23"/>
                <w:szCs w:val="23"/>
              </w:rPr>
            </w:pPr>
            <w:r>
              <w:rPr>
                <w:rFonts w:ascii="宋体" w:hAnsi="宋体" w:cs="宋体"/>
                <w:spacing w:val="-3"/>
                <w:sz w:val="23"/>
                <w:szCs w:val="23"/>
              </w:rPr>
              <w:t>产地</w:t>
            </w:r>
          </w:p>
        </w:tc>
        <w:tc>
          <w:tcPr>
            <w:tcW w:w="1668" w:type="dxa"/>
            <w:shd w:val="clear" w:color="auto" w:fill="auto"/>
          </w:tcPr>
          <w:p>
            <w:pPr>
              <w:spacing w:before="284" w:line="219" w:lineRule="auto"/>
              <w:ind w:left="596"/>
              <w:rPr>
                <w:rFonts w:ascii="宋体" w:hAnsi="宋体" w:cs="宋体"/>
                <w:sz w:val="23"/>
                <w:szCs w:val="23"/>
              </w:rPr>
            </w:pPr>
            <w:r>
              <w:rPr>
                <w:rFonts w:ascii="宋体" w:hAnsi="宋体" w:cs="宋体"/>
                <w:spacing w:val="4"/>
                <w:sz w:val="23"/>
                <w:szCs w:val="23"/>
              </w:rPr>
              <w:t>品牌</w:t>
            </w:r>
          </w:p>
        </w:tc>
        <w:tc>
          <w:tcPr>
            <w:tcW w:w="2762" w:type="dxa"/>
            <w:shd w:val="clear" w:color="auto" w:fill="auto"/>
          </w:tcPr>
          <w:p>
            <w:pPr>
              <w:spacing w:before="284" w:line="219" w:lineRule="auto"/>
              <w:ind w:left="917"/>
              <w:rPr>
                <w:rFonts w:ascii="宋体" w:hAnsi="宋体" w:cs="宋体"/>
                <w:sz w:val="23"/>
                <w:szCs w:val="23"/>
              </w:rPr>
            </w:pPr>
            <w:r>
              <w:rPr>
                <w:rFonts w:ascii="宋体" w:hAnsi="宋体" w:cs="宋体"/>
                <w:spacing w:val="3"/>
                <w:sz w:val="23"/>
                <w:szCs w:val="23"/>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79" w:line="184" w:lineRule="auto"/>
              <w:ind w:left="255"/>
              <w:rPr>
                <w:rFonts w:ascii="宋体" w:hAnsi="宋体" w:cs="宋体"/>
                <w:sz w:val="23"/>
                <w:szCs w:val="23"/>
              </w:rPr>
            </w:pPr>
            <w:r>
              <w:rPr>
                <w:rFonts w:ascii="宋体" w:hAnsi="宋体" w:cs="宋体"/>
                <w:sz w:val="23"/>
                <w:szCs w:val="23"/>
              </w:rPr>
              <w:t>1</w:t>
            </w:r>
          </w:p>
        </w:tc>
        <w:tc>
          <w:tcPr>
            <w:tcW w:w="2247" w:type="dxa"/>
            <w:shd w:val="clear" w:color="auto" w:fill="auto"/>
          </w:tcPr>
          <w:p>
            <w:pPr>
              <w:spacing w:before="221" w:line="219" w:lineRule="auto"/>
              <w:ind w:left="540"/>
              <w:rPr>
                <w:rFonts w:ascii="宋体" w:hAnsi="宋体" w:cs="宋体"/>
                <w:sz w:val="23"/>
                <w:szCs w:val="23"/>
              </w:rPr>
            </w:pPr>
          </w:p>
        </w:tc>
        <w:tc>
          <w:tcPr>
            <w:tcW w:w="1088" w:type="dxa"/>
            <w:shd w:val="clear" w:color="auto" w:fill="auto"/>
          </w:tcPr>
          <w:p>
            <w:pPr>
              <w:spacing w:before="222" w:line="220" w:lineRule="auto"/>
              <w:ind w:left="304"/>
              <w:rPr>
                <w:rFonts w:ascii="宋体" w:hAnsi="宋体" w:cs="宋体"/>
                <w:sz w:val="23"/>
                <w:szCs w:val="23"/>
              </w:rPr>
            </w:pPr>
          </w:p>
        </w:tc>
        <w:tc>
          <w:tcPr>
            <w:tcW w:w="1668" w:type="dxa"/>
            <w:shd w:val="clear" w:color="auto" w:fill="auto"/>
          </w:tcPr>
          <w:p>
            <w:pPr>
              <w:spacing w:before="221" w:line="219" w:lineRule="auto"/>
              <w:ind w:left="485"/>
              <w:rPr>
                <w:rFonts w:ascii="宋体" w:hAnsi="宋体" w:cs="宋体"/>
                <w:sz w:val="23"/>
                <w:szCs w:val="23"/>
              </w:rPr>
            </w:pPr>
          </w:p>
        </w:tc>
        <w:tc>
          <w:tcPr>
            <w:tcW w:w="2762" w:type="dxa"/>
            <w:shd w:val="clear" w:color="auto" w:fill="auto"/>
          </w:tcPr>
          <w:p>
            <w:pPr>
              <w:spacing w:before="280" w:line="183" w:lineRule="auto"/>
              <w:ind w:left="508"/>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1" w:line="183" w:lineRule="auto"/>
              <w:ind w:left="255"/>
              <w:rPr>
                <w:rFonts w:ascii="宋体" w:hAnsi="宋体" w:cs="宋体"/>
                <w:sz w:val="23"/>
                <w:szCs w:val="23"/>
              </w:rPr>
            </w:pPr>
            <w:r>
              <w:rPr>
                <w:rFonts w:ascii="宋体" w:hAnsi="宋体" w:cs="宋体"/>
                <w:sz w:val="23"/>
                <w:szCs w:val="23"/>
              </w:rPr>
              <w:t>2</w:t>
            </w:r>
          </w:p>
        </w:tc>
        <w:tc>
          <w:tcPr>
            <w:tcW w:w="2247" w:type="dxa"/>
            <w:shd w:val="clear" w:color="auto" w:fill="auto"/>
          </w:tcPr>
          <w:p>
            <w:pPr>
              <w:spacing w:before="223" w:line="221" w:lineRule="auto"/>
              <w:ind w:left="771"/>
              <w:rPr>
                <w:rFonts w:ascii="宋体" w:hAnsi="宋体" w:cs="宋体"/>
                <w:sz w:val="23"/>
                <w:szCs w:val="23"/>
              </w:rPr>
            </w:pPr>
          </w:p>
        </w:tc>
        <w:tc>
          <w:tcPr>
            <w:tcW w:w="1088" w:type="dxa"/>
            <w:shd w:val="clear" w:color="auto" w:fill="auto"/>
          </w:tcPr>
          <w:p>
            <w:pPr>
              <w:spacing w:before="223" w:line="220" w:lineRule="auto"/>
              <w:ind w:left="304"/>
              <w:rPr>
                <w:rFonts w:ascii="宋体" w:hAnsi="宋体" w:cs="宋体"/>
                <w:sz w:val="23"/>
                <w:szCs w:val="23"/>
              </w:rPr>
            </w:pPr>
          </w:p>
        </w:tc>
        <w:tc>
          <w:tcPr>
            <w:tcW w:w="1668" w:type="dxa"/>
            <w:shd w:val="clear" w:color="auto" w:fill="auto"/>
          </w:tcPr>
          <w:p>
            <w:pPr>
              <w:spacing w:before="222" w:line="219" w:lineRule="auto"/>
              <w:ind w:left="485"/>
              <w:rPr>
                <w:rFonts w:ascii="宋体" w:hAnsi="宋体" w:cs="宋体"/>
                <w:sz w:val="23"/>
                <w:szCs w:val="23"/>
              </w:rPr>
            </w:pPr>
          </w:p>
        </w:tc>
        <w:tc>
          <w:tcPr>
            <w:tcW w:w="2762" w:type="dxa"/>
            <w:shd w:val="clear" w:color="auto" w:fill="auto"/>
          </w:tcPr>
          <w:p>
            <w:pPr>
              <w:spacing w:before="280" w:line="184" w:lineRule="auto"/>
              <w:ind w:left="458"/>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2" w:line="183" w:lineRule="auto"/>
              <w:ind w:left="255"/>
              <w:rPr>
                <w:rFonts w:ascii="宋体" w:hAnsi="宋体" w:cs="宋体"/>
                <w:sz w:val="23"/>
                <w:szCs w:val="23"/>
              </w:rPr>
            </w:pPr>
            <w:r>
              <w:rPr>
                <w:rFonts w:ascii="宋体" w:hAnsi="宋体" w:cs="宋体"/>
                <w:sz w:val="23"/>
                <w:szCs w:val="23"/>
              </w:rPr>
              <w:t>3</w:t>
            </w:r>
          </w:p>
        </w:tc>
        <w:tc>
          <w:tcPr>
            <w:tcW w:w="2247" w:type="dxa"/>
            <w:shd w:val="clear" w:color="auto" w:fill="auto"/>
          </w:tcPr>
          <w:p>
            <w:pPr>
              <w:spacing w:before="223" w:line="219" w:lineRule="auto"/>
              <w:ind w:left="880"/>
              <w:rPr>
                <w:rFonts w:ascii="宋体" w:hAnsi="宋体" w:cs="宋体"/>
                <w:sz w:val="23"/>
                <w:szCs w:val="23"/>
              </w:rPr>
            </w:pPr>
          </w:p>
        </w:tc>
        <w:tc>
          <w:tcPr>
            <w:tcW w:w="1088" w:type="dxa"/>
            <w:shd w:val="clear" w:color="auto" w:fill="auto"/>
          </w:tcPr>
          <w:p>
            <w:pPr>
              <w:spacing w:before="224" w:line="220" w:lineRule="auto"/>
              <w:ind w:left="304"/>
              <w:rPr>
                <w:rFonts w:ascii="宋体" w:hAnsi="宋体" w:cs="宋体"/>
                <w:sz w:val="23"/>
                <w:szCs w:val="23"/>
              </w:rPr>
            </w:pPr>
          </w:p>
        </w:tc>
        <w:tc>
          <w:tcPr>
            <w:tcW w:w="1668" w:type="dxa"/>
            <w:shd w:val="clear" w:color="auto" w:fill="auto"/>
          </w:tcPr>
          <w:p>
            <w:pPr>
              <w:spacing w:before="223" w:line="219" w:lineRule="auto"/>
              <w:ind w:left="485"/>
              <w:rPr>
                <w:rFonts w:ascii="宋体" w:hAnsi="宋体" w:cs="宋体"/>
                <w:sz w:val="23"/>
                <w:szCs w:val="23"/>
              </w:rPr>
            </w:pPr>
          </w:p>
        </w:tc>
        <w:tc>
          <w:tcPr>
            <w:tcW w:w="2762" w:type="dxa"/>
            <w:shd w:val="clear" w:color="auto" w:fill="auto"/>
          </w:tcPr>
          <w:p>
            <w:pPr>
              <w:spacing w:before="280" w:line="185" w:lineRule="auto"/>
              <w:ind w:left="627"/>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3" w:line="183" w:lineRule="auto"/>
              <w:ind w:left="255"/>
              <w:rPr>
                <w:rFonts w:ascii="宋体" w:hAnsi="宋体" w:cs="宋体"/>
                <w:sz w:val="23"/>
                <w:szCs w:val="23"/>
              </w:rPr>
            </w:pPr>
            <w:r>
              <w:rPr>
                <w:rFonts w:ascii="宋体" w:hAnsi="宋体" w:cs="宋体"/>
                <w:sz w:val="23"/>
                <w:szCs w:val="23"/>
              </w:rPr>
              <w:t>4</w:t>
            </w:r>
          </w:p>
        </w:tc>
        <w:tc>
          <w:tcPr>
            <w:tcW w:w="2247" w:type="dxa"/>
            <w:shd w:val="clear" w:color="auto" w:fill="auto"/>
          </w:tcPr>
          <w:p>
            <w:pPr>
              <w:spacing w:before="224" w:line="219" w:lineRule="auto"/>
              <w:ind w:left="540"/>
              <w:rPr>
                <w:rFonts w:ascii="宋体" w:hAnsi="宋体" w:cs="宋体"/>
                <w:sz w:val="23"/>
                <w:szCs w:val="23"/>
              </w:rPr>
            </w:pPr>
          </w:p>
        </w:tc>
        <w:tc>
          <w:tcPr>
            <w:tcW w:w="1088" w:type="dxa"/>
            <w:shd w:val="clear" w:color="auto" w:fill="auto"/>
          </w:tcPr>
          <w:p>
            <w:pPr>
              <w:spacing w:before="225" w:line="220" w:lineRule="auto"/>
              <w:ind w:left="304"/>
              <w:rPr>
                <w:rFonts w:ascii="宋体" w:hAnsi="宋体" w:cs="宋体"/>
                <w:sz w:val="23"/>
                <w:szCs w:val="23"/>
              </w:rPr>
            </w:pPr>
          </w:p>
        </w:tc>
        <w:tc>
          <w:tcPr>
            <w:tcW w:w="1668" w:type="dxa"/>
            <w:shd w:val="clear" w:color="auto" w:fill="auto"/>
          </w:tcPr>
          <w:p>
            <w:pPr>
              <w:spacing w:before="224" w:line="219" w:lineRule="auto"/>
              <w:ind w:left="485"/>
              <w:rPr>
                <w:rFonts w:ascii="宋体" w:hAnsi="宋体" w:cs="宋体"/>
                <w:sz w:val="23"/>
                <w:szCs w:val="23"/>
              </w:rPr>
            </w:pPr>
          </w:p>
        </w:tc>
        <w:tc>
          <w:tcPr>
            <w:tcW w:w="2762" w:type="dxa"/>
            <w:shd w:val="clear" w:color="auto" w:fill="auto"/>
          </w:tcPr>
          <w:p>
            <w:pPr>
              <w:spacing w:before="258" w:line="183" w:lineRule="auto"/>
              <w:ind w:left="508"/>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6" w:line="182" w:lineRule="auto"/>
              <w:ind w:left="255"/>
              <w:rPr>
                <w:rFonts w:ascii="宋体" w:hAnsi="宋体" w:cs="宋体"/>
                <w:sz w:val="23"/>
                <w:szCs w:val="23"/>
              </w:rPr>
            </w:pPr>
            <w:r>
              <w:rPr>
                <w:rFonts w:ascii="宋体" w:hAnsi="宋体" w:cs="宋体"/>
                <w:sz w:val="23"/>
                <w:szCs w:val="23"/>
              </w:rPr>
              <w:t>5</w:t>
            </w:r>
          </w:p>
        </w:tc>
        <w:tc>
          <w:tcPr>
            <w:tcW w:w="2247" w:type="dxa"/>
            <w:shd w:val="clear" w:color="auto" w:fill="auto"/>
          </w:tcPr>
          <w:p>
            <w:pPr>
              <w:spacing w:before="226" w:line="220" w:lineRule="auto"/>
              <w:ind w:left="540"/>
              <w:rPr>
                <w:rFonts w:ascii="宋体" w:hAnsi="宋体" w:cs="宋体"/>
                <w:sz w:val="23"/>
                <w:szCs w:val="23"/>
              </w:rPr>
            </w:pPr>
          </w:p>
        </w:tc>
        <w:tc>
          <w:tcPr>
            <w:tcW w:w="1088" w:type="dxa"/>
            <w:shd w:val="clear" w:color="auto" w:fill="auto"/>
          </w:tcPr>
          <w:p>
            <w:pPr>
              <w:spacing w:before="226" w:line="220" w:lineRule="auto"/>
              <w:ind w:left="304"/>
              <w:rPr>
                <w:rFonts w:ascii="宋体" w:hAnsi="宋体" w:cs="宋体"/>
                <w:sz w:val="23"/>
                <w:szCs w:val="23"/>
              </w:rPr>
            </w:pPr>
          </w:p>
        </w:tc>
        <w:tc>
          <w:tcPr>
            <w:tcW w:w="1668" w:type="dxa"/>
            <w:shd w:val="clear" w:color="auto" w:fill="auto"/>
          </w:tcPr>
          <w:p>
            <w:pPr>
              <w:spacing w:before="225" w:line="219" w:lineRule="auto"/>
              <w:ind w:left="485"/>
              <w:rPr>
                <w:rFonts w:ascii="宋体" w:hAnsi="宋体" w:cs="宋体"/>
                <w:sz w:val="23"/>
                <w:szCs w:val="23"/>
              </w:rPr>
            </w:pPr>
          </w:p>
        </w:tc>
        <w:tc>
          <w:tcPr>
            <w:tcW w:w="2762" w:type="dxa"/>
            <w:shd w:val="clear" w:color="auto" w:fill="auto"/>
          </w:tcPr>
          <w:p>
            <w:pPr>
              <w:spacing w:before="284" w:line="183" w:lineRule="auto"/>
              <w:ind w:left="568"/>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5" w:line="183" w:lineRule="auto"/>
              <w:ind w:left="255"/>
              <w:rPr>
                <w:rFonts w:ascii="宋体" w:hAnsi="宋体" w:cs="宋体"/>
                <w:sz w:val="23"/>
                <w:szCs w:val="23"/>
              </w:rPr>
            </w:pPr>
            <w:r>
              <w:rPr>
                <w:rFonts w:ascii="宋体" w:hAnsi="宋体" w:cs="宋体"/>
                <w:sz w:val="23"/>
                <w:szCs w:val="23"/>
              </w:rPr>
              <w:t>6</w:t>
            </w:r>
          </w:p>
        </w:tc>
        <w:tc>
          <w:tcPr>
            <w:tcW w:w="2247" w:type="dxa"/>
            <w:shd w:val="clear" w:color="auto" w:fill="auto"/>
          </w:tcPr>
          <w:p>
            <w:pPr>
              <w:spacing w:before="227" w:line="220" w:lineRule="auto"/>
              <w:ind w:left="771"/>
              <w:rPr>
                <w:rFonts w:ascii="宋体" w:hAnsi="宋体" w:cs="宋体"/>
                <w:sz w:val="23"/>
                <w:szCs w:val="23"/>
              </w:rPr>
            </w:pPr>
          </w:p>
        </w:tc>
        <w:tc>
          <w:tcPr>
            <w:tcW w:w="1088" w:type="dxa"/>
            <w:shd w:val="clear" w:color="auto" w:fill="auto"/>
          </w:tcPr>
          <w:p>
            <w:pPr>
              <w:spacing w:before="227" w:line="220" w:lineRule="auto"/>
              <w:ind w:left="304"/>
              <w:rPr>
                <w:rFonts w:ascii="宋体" w:hAnsi="宋体" w:cs="宋体"/>
                <w:sz w:val="23"/>
                <w:szCs w:val="23"/>
              </w:rPr>
            </w:pPr>
          </w:p>
        </w:tc>
        <w:tc>
          <w:tcPr>
            <w:tcW w:w="1668" w:type="dxa"/>
            <w:shd w:val="clear" w:color="auto" w:fill="auto"/>
          </w:tcPr>
          <w:p>
            <w:pPr>
              <w:spacing w:before="227" w:line="220" w:lineRule="auto"/>
              <w:ind w:left="596"/>
              <w:rPr>
                <w:rFonts w:ascii="宋体" w:hAnsi="宋体" w:cs="宋体"/>
                <w:sz w:val="23"/>
                <w:szCs w:val="23"/>
              </w:rPr>
            </w:pPr>
          </w:p>
        </w:tc>
        <w:tc>
          <w:tcPr>
            <w:tcW w:w="2762" w:type="dxa"/>
            <w:shd w:val="clear" w:color="auto" w:fill="auto"/>
          </w:tcPr>
          <w:p>
            <w:pPr>
              <w:spacing w:before="283" w:line="185" w:lineRule="auto"/>
              <w:ind w:left="1028"/>
              <w:rPr>
                <w:rFonts w:ascii="宋体" w:hAnsi="宋体" w:cs="宋体"/>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654" w:type="dxa"/>
            <w:shd w:val="clear" w:color="auto" w:fill="auto"/>
          </w:tcPr>
          <w:p>
            <w:pPr>
              <w:spacing w:before="288" w:line="182" w:lineRule="auto"/>
              <w:ind w:left="255"/>
              <w:rPr>
                <w:rFonts w:ascii="宋体" w:hAnsi="宋体" w:cs="宋体"/>
                <w:sz w:val="23"/>
                <w:szCs w:val="23"/>
              </w:rPr>
            </w:pPr>
            <w:r>
              <w:rPr>
                <w:rFonts w:ascii="宋体" w:hAnsi="宋体" w:cs="宋体"/>
                <w:sz w:val="23"/>
                <w:szCs w:val="23"/>
              </w:rPr>
              <w:t>7</w:t>
            </w:r>
          </w:p>
        </w:tc>
        <w:tc>
          <w:tcPr>
            <w:tcW w:w="2247" w:type="dxa"/>
            <w:shd w:val="clear" w:color="auto" w:fill="auto"/>
          </w:tcPr>
          <w:p>
            <w:pPr>
              <w:spacing w:before="226" w:line="219" w:lineRule="auto"/>
              <w:ind w:left="310"/>
              <w:rPr>
                <w:rFonts w:ascii="宋体" w:hAnsi="宋体" w:cs="宋体"/>
                <w:sz w:val="23"/>
                <w:szCs w:val="23"/>
              </w:rPr>
            </w:pPr>
          </w:p>
        </w:tc>
        <w:tc>
          <w:tcPr>
            <w:tcW w:w="1088" w:type="dxa"/>
            <w:shd w:val="clear" w:color="auto" w:fill="auto"/>
          </w:tcPr>
          <w:p>
            <w:pPr>
              <w:spacing w:before="228" w:line="220" w:lineRule="auto"/>
              <w:ind w:left="304"/>
              <w:rPr>
                <w:rFonts w:ascii="宋体" w:hAnsi="宋体" w:cs="宋体"/>
                <w:sz w:val="23"/>
                <w:szCs w:val="23"/>
              </w:rPr>
            </w:pPr>
          </w:p>
        </w:tc>
        <w:tc>
          <w:tcPr>
            <w:tcW w:w="1668" w:type="dxa"/>
            <w:shd w:val="clear" w:color="auto" w:fill="auto"/>
          </w:tcPr>
          <w:p>
            <w:pPr>
              <w:spacing w:before="228" w:line="220" w:lineRule="auto"/>
              <w:ind w:left="596"/>
              <w:rPr>
                <w:rFonts w:ascii="宋体" w:hAnsi="宋体" w:cs="宋体"/>
                <w:sz w:val="23"/>
                <w:szCs w:val="23"/>
              </w:rPr>
            </w:pPr>
          </w:p>
        </w:tc>
        <w:tc>
          <w:tcPr>
            <w:tcW w:w="2762" w:type="dxa"/>
            <w:shd w:val="clear" w:color="auto" w:fill="auto"/>
          </w:tcPr>
          <w:p>
            <w:pPr>
              <w:spacing w:before="285" w:line="184" w:lineRule="auto"/>
              <w:ind w:left="1148"/>
              <w:rPr>
                <w:rFonts w:ascii="宋体" w:hAnsi="宋体" w:cs="宋体"/>
                <w:sz w:val="23"/>
                <w:szCs w:val="23"/>
              </w:rPr>
            </w:pPr>
          </w:p>
        </w:tc>
      </w:tr>
    </w:tbl>
    <w:p>
      <w:pPr>
        <w:snapToGrid w:val="0"/>
        <w:spacing w:line="360" w:lineRule="auto"/>
        <w:rPr>
          <w:rFonts w:ascii="Arial" w:hAnsi="Arial"/>
          <w:szCs w:val="21"/>
        </w:rPr>
      </w:pPr>
    </w:p>
    <w:p>
      <w:pPr>
        <w:snapToGrid w:val="0"/>
        <w:spacing w:line="360" w:lineRule="auto"/>
        <w:rPr>
          <w:rFonts w:ascii="Arial" w:hAnsi="Arial"/>
          <w:szCs w:val="21"/>
        </w:rPr>
      </w:pPr>
      <w:r>
        <w:rPr>
          <w:rFonts w:hint="eastAsia" w:ascii="Arial" w:hAnsi="Arial"/>
          <w:szCs w:val="21"/>
        </w:rPr>
        <w:t>合同附件3-技术规格书</w:t>
      </w:r>
    </w:p>
    <w:bookmarkEnd w:id="83"/>
    <w:p>
      <w:pPr>
        <w:spacing w:line="276" w:lineRule="auto"/>
        <w:rPr>
          <w:rFonts w:ascii="Arial" w:hAnsi="Arial"/>
          <w:szCs w:val="21"/>
        </w:rPr>
      </w:pPr>
      <w:r>
        <w:rPr>
          <w:rFonts w:hint="eastAsia" w:ascii="Arial" w:hAnsi="Arial"/>
          <w:szCs w:val="21"/>
          <w:lang w:val="en-US" w:eastAsia="zh-CN"/>
        </w:rPr>
        <w:t>详见第一章“1.4招标项目技术要求” 。</w:t>
      </w:r>
      <w:r>
        <w:rPr>
          <w:rFonts w:hint="eastAsia" w:ascii="Arial" w:hAnsi="Arial"/>
          <w:szCs w:val="21"/>
        </w:rPr>
        <w:t>项目定标后，</w:t>
      </w:r>
      <w:r>
        <w:rPr>
          <w:rFonts w:hint="eastAsia" w:ascii="Arial" w:hAnsi="Arial"/>
          <w:szCs w:val="21"/>
          <w:lang w:val="en-US" w:eastAsia="zh-CN"/>
        </w:rPr>
        <w:t>中标厂家若需调整技术规格书，可</w:t>
      </w:r>
      <w:r>
        <w:rPr>
          <w:rFonts w:hint="eastAsia" w:ascii="Arial" w:hAnsi="Arial"/>
          <w:szCs w:val="21"/>
        </w:rPr>
        <w:t>结合</w:t>
      </w:r>
      <w:r>
        <w:rPr>
          <w:rFonts w:hint="eastAsia" w:ascii="Arial" w:hAnsi="Arial"/>
          <w:szCs w:val="21"/>
          <w:lang w:val="en-US" w:eastAsia="zh-CN"/>
        </w:rPr>
        <w:t>提交的</w:t>
      </w:r>
      <w:r>
        <w:rPr>
          <w:rFonts w:hint="eastAsia" w:ascii="Arial" w:hAnsi="Arial"/>
          <w:szCs w:val="21"/>
        </w:rPr>
        <w:t>技术方案</w:t>
      </w:r>
      <w:r>
        <w:rPr>
          <w:rFonts w:hint="eastAsia" w:ascii="Arial" w:hAnsi="Arial"/>
          <w:szCs w:val="21"/>
          <w:lang w:val="en-US" w:eastAsia="zh-CN"/>
        </w:rPr>
        <w:t>与买方协商，经买方同意后方可调整</w:t>
      </w:r>
      <w:r>
        <w:rPr>
          <w:rFonts w:hint="eastAsia" w:ascii="Arial" w:hAnsi="Arial"/>
          <w:szCs w:val="21"/>
        </w:rPr>
        <w:t>。</w:t>
      </w: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ind w:right="560"/>
        <w:jc w:val="left"/>
        <w:rPr>
          <w:rFonts w:asciiTheme="minorEastAsia" w:hAnsiTheme="minorEastAsia" w:eastAsiaTheme="minorEastAsia"/>
        </w:rPr>
      </w:pPr>
    </w:p>
    <w:sectPr>
      <w:headerReference r:id="rId3" w:type="default"/>
      <w:footerReference r:id="rId4"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font-weight : 400">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003338"/>
    </w:sdtPr>
    <w:sdtContent>
      <w:sdt>
        <w:sdtPr>
          <w:id w:val="1728636285"/>
        </w:sdtPr>
        <w:sdtContent>
          <w:p>
            <w:pPr>
              <w:pStyle w:val="1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anchor distT="0" distB="0" distL="0" distR="0" simplePos="0" relativeHeight="251659264" behindDoc="0" locked="0" layoutInCell="1" allowOverlap="1">
          <wp:simplePos x="0" y="0"/>
          <wp:positionH relativeFrom="column">
            <wp:posOffset>4589145</wp:posOffset>
          </wp:positionH>
          <wp:positionV relativeFrom="paragraph">
            <wp:posOffset>-232410</wp:posOffset>
          </wp:positionV>
          <wp:extent cx="927100" cy="320040"/>
          <wp:effectExtent l="0" t="0" r="0" b="10160"/>
          <wp:wrapNone/>
          <wp:docPr id="7196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62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4985" cy="323205"/>
                  </a:xfrm>
                  <a:prstGeom prst="rect">
                    <a:avLst/>
                  </a:prstGeom>
                  <a:noFill/>
                  <a:ln>
                    <a:noFill/>
                  </a:ln>
                </pic:spPr>
              </pic:pic>
            </a:graphicData>
          </a:graphic>
        </wp:anchor>
      </w:drawing>
    </w:r>
    <w:r>
      <w:rPr>
        <w:rFonts w:hint="eastAsia"/>
        <w:lang w:eastAsia="zh-Hans"/>
      </w:rPr>
      <w:t>“嘉庚号”科考船智能低碳港口船舶岸电系统采购项目</w:t>
    </w:r>
  </w:p>
  <w:p>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7.%1 "/>
      <w:lvlJc w:val="left"/>
      <w:pPr>
        <w:ind w:left="0" w:firstLine="400"/>
      </w:pPr>
      <w:rPr>
        <w:rFonts w:hint="default"/>
      </w:rPr>
    </w:lvl>
  </w:abstractNum>
  <w:abstractNum w:abstractNumId="1">
    <w:nsid w:val="00000002"/>
    <w:multiLevelType w:val="singleLevel"/>
    <w:tmpl w:val="00000002"/>
    <w:lvl w:ilvl="0" w:tentative="0">
      <w:start w:val="1"/>
      <w:numFmt w:val="decimal"/>
      <w:suff w:val="nothing"/>
      <w:lvlText w:val="19.%1 "/>
      <w:lvlJc w:val="left"/>
      <w:pPr>
        <w:ind w:left="0" w:firstLine="400"/>
      </w:pPr>
      <w:rPr>
        <w:rFonts w:hint="default"/>
      </w:rPr>
    </w:lvl>
  </w:abstractNum>
  <w:abstractNum w:abstractNumId="2">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3">
    <w:nsid w:val="00000004"/>
    <w:multiLevelType w:val="singleLevel"/>
    <w:tmpl w:val="00000004"/>
    <w:lvl w:ilvl="0" w:tentative="0">
      <w:start w:val="1"/>
      <w:numFmt w:val="decimal"/>
      <w:suff w:val="nothing"/>
      <w:lvlText w:val="11.%1 "/>
      <w:lvlJc w:val="left"/>
      <w:pPr>
        <w:ind w:left="20" w:firstLine="400"/>
      </w:pPr>
      <w:rPr>
        <w:rFonts w:hint="default"/>
      </w:rPr>
    </w:lvl>
  </w:abstractNum>
  <w:abstractNum w:abstractNumId="4">
    <w:nsid w:val="00000005"/>
    <w:multiLevelType w:val="singleLevel"/>
    <w:tmpl w:val="00000005"/>
    <w:lvl w:ilvl="0" w:tentative="0">
      <w:start w:val="1"/>
      <w:numFmt w:val="decimal"/>
      <w:suff w:val="nothing"/>
      <w:lvlText w:val="12.%1 "/>
      <w:lvlJc w:val="left"/>
      <w:pPr>
        <w:ind w:left="20" w:firstLine="400"/>
      </w:pPr>
      <w:rPr>
        <w:rFonts w:hint="default"/>
      </w:rPr>
    </w:lvl>
  </w:abstractNum>
  <w:abstractNum w:abstractNumId="5">
    <w:nsid w:val="00000006"/>
    <w:multiLevelType w:val="singleLevel"/>
    <w:tmpl w:val="00000006"/>
    <w:lvl w:ilvl="0" w:tentative="0">
      <w:start w:val="1"/>
      <w:numFmt w:val="decimal"/>
      <w:suff w:val="nothing"/>
      <w:lvlText w:val="%1）"/>
      <w:lvlJc w:val="left"/>
      <w:pPr>
        <w:ind w:left="0" w:firstLine="400"/>
      </w:pPr>
      <w:rPr>
        <w:rFonts w:hint="default"/>
      </w:rPr>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9"/>
    <w:multiLevelType w:val="singleLevel"/>
    <w:tmpl w:val="00000009"/>
    <w:lvl w:ilvl="0" w:tentative="0">
      <w:start w:val="1"/>
      <w:numFmt w:val="decimal"/>
      <w:suff w:val="nothing"/>
      <w:lvlText w:val="4.%1 "/>
      <w:lvlJc w:val="left"/>
      <w:pPr>
        <w:ind w:left="0" w:firstLine="400"/>
      </w:pPr>
      <w:rPr>
        <w:rFonts w:hint="default"/>
      </w:rPr>
    </w:lvl>
  </w:abstractNum>
  <w:abstractNum w:abstractNumId="8">
    <w:nsid w:val="0000000A"/>
    <w:multiLevelType w:val="singleLevel"/>
    <w:tmpl w:val="0000000A"/>
    <w:lvl w:ilvl="0" w:tentative="0">
      <w:start w:val="1"/>
      <w:numFmt w:val="decimal"/>
      <w:suff w:val="nothing"/>
      <w:lvlText w:val="14.%1 "/>
      <w:lvlJc w:val="left"/>
      <w:pPr>
        <w:ind w:left="0" w:firstLine="400"/>
      </w:pPr>
      <w:rPr>
        <w:rFonts w:hint="default"/>
      </w:rPr>
    </w:lvl>
  </w:abstractNum>
  <w:abstractNum w:abstractNumId="9">
    <w:nsid w:val="0000000B"/>
    <w:multiLevelType w:val="singleLevel"/>
    <w:tmpl w:val="0000000B"/>
    <w:lvl w:ilvl="0" w:tentative="0">
      <w:start w:val="1"/>
      <w:numFmt w:val="decimal"/>
      <w:suff w:val="nothing"/>
      <w:lvlText w:val="%1）"/>
      <w:lvlJc w:val="left"/>
    </w:lvl>
  </w:abstractNum>
  <w:abstractNum w:abstractNumId="10">
    <w:nsid w:val="0000000C"/>
    <w:multiLevelType w:val="singleLevel"/>
    <w:tmpl w:val="0000000C"/>
    <w:lvl w:ilvl="0" w:tentative="0">
      <w:start w:val="1"/>
      <w:numFmt w:val="decimal"/>
      <w:suff w:val="nothing"/>
      <w:lvlText w:val="（%1）"/>
      <w:lvlJc w:val="left"/>
      <w:pPr>
        <w:ind w:left="0" w:firstLine="400"/>
      </w:pPr>
      <w:rPr>
        <w:rFonts w:hint="default"/>
      </w:rPr>
    </w:lvl>
  </w:abstractNum>
  <w:abstractNum w:abstractNumId="11">
    <w:nsid w:val="00000011"/>
    <w:multiLevelType w:val="singleLevel"/>
    <w:tmpl w:val="00000011"/>
    <w:lvl w:ilvl="0" w:tentative="0">
      <w:start w:val="1"/>
      <w:numFmt w:val="decimal"/>
      <w:suff w:val="nothing"/>
      <w:lvlText w:val="5.%1 "/>
      <w:lvlJc w:val="left"/>
      <w:pPr>
        <w:ind w:left="0" w:firstLine="400"/>
      </w:pPr>
      <w:rPr>
        <w:rFonts w:hint="default"/>
      </w:rPr>
    </w:lvl>
  </w:abstractNum>
  <w:abstractNum w:abstractNumId="12">
    <w:nsid w:val="00000013"/>
    <w:multiLevelType w:val="singleLevel"/>
    <w:tmpl w:val="00000013"/>
    <w:lvl w:ilvl="0" w:tentative="0">
      <w:start w:val="1"/>
      <w:numFmt w:val="decimal"/>
      <w:suff w:val="nothing"/>
      <w:lvlText w:val="（%1）"/>
      <w:lvlJc w:val="left"/>
    </w:lvl>
  </w:abstractNum>
  <w:abstractNum w:abstractNumId="13">
    <w:nsid w:val="00000014"/>
    <w:multiLevelType w:val="singleLevel"/>
    <w:tmpl w:val="00000014"/>
    <w:lvl w:ilvl="0" w:tentative="0">
      <w:start w:val="1"/>
      <w:numFmt w:val="decimal"/>
      <w:suff w:val="nothing"/>
      <w:lvlText w:val="（%1）"/>
      <w:lvlJc w:val="left"/>
    </w:lvl>
  </w:abstractNum>
  <w:abstractNum w:abstractNumId="14">
    <w:nsid w:val="00000015"/>
    <w:multiLevelType w:val="singleLevel"/>
    <w:tmpl w:val="00000015"/>
    <w:lvl w:ilvl="0" w:tentative="0">
      <w:start w:val="1"/>
      <w:numFmt w:val="decimal"/>
      <w:suff w:val="nothing"/>
      <w:lvlText w:val="（%1）"/>
      <w:lvlJc w:val="left"/>
    </w:lvl>
  </w:abstractNum>
  <w:abstractNum w:abstractNumId="15">
    <w:nsid w:val="00000016"/>
    <w:multiLevelType w:val="singleLevel"/>
    <w:tmpl w:val="00000016"/>
    <w:lvl w:ilvl="0" w:tentative="0">
      <w:start w:val="1"/>
      <w:numFmt w:val="decimal"/>
      <w:suff w:val="nothing"/>
      <w:lvlText w:val="22.%1 "/>
      <w:lvlJc w:val="left"/>
      <w:pPr>
        <w:ind w:left="0" w:firstLine="400"/>
      </w:pPr>
      <w:rPr>
        <w:rFonts w:hint="default"/>
      </w:rPr>
    </w:lvl>
  </w:abstractNum>
  <w:abstractNum w:abstractNumId="16">
    <w:nsid w:val="00000017"/>
    <w:multiLevelType w:val="singleLevel"/>
    <w:tmpl w:val="00000017"/>
    <w:lvl w:ilvl="0" w:tentative="0">
      <w:start w:val="1"/>
      <w:numFmt w:val="decimal"/>
      <w:suff w:val="nothing"/>
      <w:lvlText w:val="23.%1 "/>
      <w:lvlJc w:val="left"/>
      <w:pPr>
        <w:ind w:left="0" w:firstLine="400"/>
      </w:pPr>
      <w:rPr>
        <w:rFonts w:hint="default"/>
      </w:rPr>
    </w:lvl>
  </w:abstractNum>
  <w:abstractNum w:abstractNumId="17">
    <w:nsid w:val="00000019"/>
    <w:multiLevelType w:val="singleLevel"/>
    <w:tmpl w:val="00000019"/>
    <w:lvl w:ilvl="0" w:tentative="0">
      <w:start w:val="1"/>
      <w:numFmt w:val="decimal"/>
      <w:suff w:val="nothing"/>
      <w:lvlText w:val="28.%1 "/>
      <w:lvlJc w:val="left"/>
      <w:pPr>
        <w:ind w:left="0" w:firstLine="400"/>
      </w:pPr>
      <w:rPr>
        <w:rFonts w:hint="default"/>
      </w:rPr>
    </w:lvl>
  </w:abstractNum>
  <w:abstractNum w:abstractNumId="18">
    <w:nsid w:val="0000001B"/>
    <w:multiLevelType w:val="singleLevel"/>
    <w:tmpl w:val="0000001B"/>
    <w:lvl w:ilvl="0" w:tentative="0">
      <w:start w:val="1"/>
      <w:numFmt w:val="decimal"/>
      <w:suff w:val="nothing"/>
      <w:lvlText w:val="15.%1 "/>
      <w:lvlJc w:val="left"/>
      <w:pPr>
        <w:ind w:left="0" w:firstLine="400"/>
      </w:pPr>
      <w:rPr>
        <w:rFonts w:hint="default"/>
      </w:rPr>
    </w:lvl>
  </w:abstractNum>
  <w:abstractNum w:abstractNumId="19">
    <w:nsid w:val="0000001C"/>
    <w:multiLevelType w:val="singleLevel"/>
    <w:tmpl w:val="0000001C"/>
    <w:lvl w:ilvl="0" w:tentative="0">
      <w:start w:val="1"/>
      <w:numFmt w:val="decimal"/>
      <w:suff w:val="nothing"/>
      <w:lvlText w:val="25.%1 "/>
      <w:lvlJc w:val="left"/>
      <w:pPr>
        <w:ind w:left="0" w:firstLine="400"/>
      </w:pPr>
      <w:rPr>
        <w:rFonts w:hint="default"/>
      </w:rPr>
    </w:lvl>
  </w:abstractNum>
  <w:abstractNum w:abstractNumId="20">
    <w:nsid w:val="0000001D"/>
    <w:multiLevelType w:val="singleLevel"/>
    <w:tmpl w:val="0000001D"/>
    <w:lvl w:ilvl="0" w:tentative="0">
      <w:start w:val="1"/>
      <w:numFmt w:val="decimal"/>
      <w:suff w:val="nothing"/>
      <w:lvlText w:val="16.%1 "/>
      <w:lvlJc w:val="left"/>
      <w:pPr>
        <w:ind w:left="0" w:firstLine="400"/>
      </w:pPr>
      <w:rPr>
        <w:rFonts w:hint="default"/>
      </w:rPr>
    </w:lvl>
  </w:abstractNum>
  <w:abstractNum w:abstractNumId="21">
    <w:nsid w:val="0000001F"/>
    <w:multiLevelType w:val="singleLevel"/>
    <w:tmpl w:val="0000001F"/>
    <w:lvl w:ilvl="0" w:tentative="0">
      <w:start w:val="1"/>
      <w:numFmt w:val="decimal"/>
      <w:suff w:val="nothing"/>
      <w:lvlText w:val="%1、"/>
      <w:lvlJc w:val="left"/>
      <w:pPr>
        <w:ind w:left="0" w:firstLine="400"/>
      </w:pPr>
      <w:rPr>
        <w:rFonts w:hint="default"/>
      </w:rPr>
    </w:lvl>
  </w:abstractNum>
  <w:abstractNum w:abstractNumId="22">
    <w:nsid w:val="00000024"/>
    <w:multiLevelType w:val="singleLevel"/>
    <w:tmpl w:val="00000024"/>
    <w:lvl w:ilvl="0" w:tentative="0">
      <w:start w:val="1"/>
      <w:numFmt w:val="decimal"/>
      <w:suff w:val="nothing"/>
      <w:lvlText w:val="2.%1 "/>
      <w:lvlJc w:val="left"/>
      <w:pPr>
        <w:ind w:left="0" w:firstLine="400"/>
      </w:pPr>
      <w:rPr>
        <w:rFonts w:hint="default"/>
      </w:rPr>
    </w:lvl>
  </w:abstractNum>
  <w:abstractNum w:abstractNumId="23">
    <w:nsid w:val="00000025"/>
    <w:multiLevelType w:val="singleLevel"/>
    <w:tmpl w:val="00000025"/>
    <w:lvl w:ilvl="0" w:tentative="0">
      <w:start w:val="1"/>
      <w:numFmt w:val="decimal"/>
      <w:suff w:val="nothing"/>
      <w:lvlText w:val="（%1）"/>
      <w:lvlJc w:val="left"/>
      <w:pPr>
        <w:ind w:left="0" w:firstLine="400"/>
      </w:pPr>
      <w:rPr>
        <w:rFonts w:hint="default"/>
      </w:rPr>
    </w:lvl>
  </w:abstractNum>
  <w:abstractNum w:abstractNumId="24">
    <w:nsid w:val="00000026"/>
    <w:multiLevelType w:val="singleLevel"/>
    <w:tmpl w:val="00000026"/>
    <w:lvl w:ilvl="0" w:tentative="0">
      <w:start w:val="1"/>
      <w:numFmt w:val="decimal"/>
      <w:suff w:val="nothing"/>
      <w:lvlText w:val="（%1）"/>
      <w:lvlJc w:val="left"/>
    </w:lvl>
  </w:abstractNum>
  <w:abstractNum w:abstractNumId="25">
    <w:nsid w:val="00000027"/>
    <w:multiLevelType w:val="singleLevel"/>
    <w:tmpl w:val="00000027"/>
    <w:lvl w:ilvl="0" w:tentative="0">
      <w:start w:val="1"/>
      <w:numFmt w:val="decimal"/>
      <w:suff w:val="nothing"/>
      <w:lvlText w:val="6.%1 "/>
      <w:lvlJc w:val="left"/>
      <w:pPr>
        <w:ind w:left="0" w:firstLine="400"/>
      </w:pPr>
      <w:rPr>
        <w:rFonts w:hint="default"/>
      </w:rPr>
    </w:lvl>
  </w:abstractNum>
  <w:abstractNum w:abstractNumId="26">
    <w:nsid w:val="00000028"/>
    <w:multiLevelType w:val="singleLevel"/>
    <w:tmpl w:val="00000028"/>
    <w:lvl w:ilvl="0" w:tentative="0">
      <w:start w:val="1"/>
      <w:numFmt w:val="decimal"/>
      <w:suff w:val="nothing"/>
      <w:lvlText w:val="30.%1 "/>
      <w:lvlJc w:val="left"/>
      <w:pPr>
        <w:ind w:left="0" w:firstLine="400"/>
      </w:pPr>
      <w:rPr>
        <w:rFonts w:hint="default"/>
      </w:rPr>
    </w:lvl>
  </w:abstractNum>
  <w:abstractNum w:abstractNumId="27">
    <w:nsid w:val="0000002A"/>
    <w:multiLevelType w:val="singleLevel"/>
    <w:tmpl w:val="0000002A"/>
    <w:lvl w:ilvl="0" w:tentative="0">
      <w:start w:val="1"/>
      <w:numFmt w:val="decimal"/>
      <w:suff w:val="nothing"/>
      <w:lvlText w:val="10.%1 "/>
      <w:lvlJc w:val="left"/>
      <w:pPr>
        <w:ind w:left="0" w:firstLine="400"/>
      </w:pPr>
      <w:rPr>
        <w:rFonts w:hint="default"/>
      </w:rPr>
    </w:lvl>
  </w:abstractNum>
  <w:abstractNum w:abstractNumId="28">
    <w:nsid w:val="0000002B"/>
    <w:multiLevelType w:val="singleLevel"/>
    <w:tmpl w:val="0000002B"/>
    <w:lvl w:ilvl="0" w:tentative="0">
      <w:start w:val="1"/>
      <w:numFmt w:val="decimal"/>
      <w:suff w:val="nothing"/>
      <w:lvlText w:val="13.%1 "/>
      <w:lvlJc w:val="left"/>
      <w:pPr>
        <w:ind w:left="0" w:firstLine="400"/>
      </w:pPr>
      <w:rPr>
        <w:rFonts w:hint="default"/>
      </w:rPr>
    </w:lvl>
  </w:abstractNum>
  <w:abstractNum w:abstractNumId="29">
    <w:nsid w:val="0000002C"/>
    <w:multiLevelType w:val="singleLevel"/>
    <w:tmpl w:val="0000002C"/>
    <w:lvl w:ilvl="0" w:tentative="0">
      <w:start w:val="1"/>
      <w:numFmt w:val="decimal"/>
      <w:suff w:val="nothing"/>
      <w:lvlText w:val="6.%1 "/>
      <w:lvlJc w:val="left"/>
      <w:pPr>
        <w:ind w:left="0" w:firstLine="400"/>
      </w:pPr>
      <w:rPr>
        <w:rFonts w:hint="default"/>
      </w:rPr>
    </w:lvl>
  </w:abstractNum>
  <w:abstractNum w:abstractNumId="30">
    <w:nsid w:val="0000002D"/>
    <w:multiLevelType w:val="singleLevel"/>
    <w:tmpl w:val="0000002D"/>
    <w:lvl w:ilvl="0" w:tentative="0">
      <w:start w:val="1"/>
      <w:numFmt w:val="decimal"/>
      <w:suff w:val="nothing"/>
      <w:lvlText w:val="27.%1 "/>
      <w:lvlJc w:val="left"/>
      <w:pPr>
        <w:ind w:left="0" w:firstLine="400"/>
      </w:pPr>
      <w:rPr>
        <w:rFonts w:hint="default"/>
      </w:rPr>
    </w:lvl>
  </w:abstractNum>
  <w:abstractNum w:abstractNumId="31">
    <w:nsid w:val="0000002E"/>
    <w:multiLevelType w:val="singleLevel"/>
    <w:tmpl w:val="0000002E"/>
    <w:lvl w:ilvl="0" w:tentative="0">
      <w:start w:val="1"/>
      <w:numFmt w:val="decimal"/>
      <w:suff w:val="nothing"/>
      <w:lvlText w:val="22.%1 "/>
      <w:lvlJc w:val="left"/>
      <w:pPr>
        <w:ind w:left="0" w:firstLine="400"/>
      </w:pPr>
      <w:rPr>
        <w:rFonts w:hint="default"/>
      </w:rPr>
    </w:lvl>
  </w:abstractNum>
  <w:abstractNum w:abstractNumId="32">
    <w:nsid w:val="00000030"/>
    <w:multiLevelType w:val="singleLevel"/>
    <w:tmpl w:val="00000030"/>
    <w:lvl w:ilvl="0" w:tentative="0">
      <w:start w:val="1"/>
      <w:numFmt w:val="decimal"/>
      <w:suff w:val="nothing"/>
      <w:lvlText w:val="29.%1 "/>
      <w:lvlJc w:val="left"/>
      <w:pPr>
        <w:ind w:left="20" w:firstLine="400"/>
      </w:pPr>
      <w:rPr>
        <w:rFonts w:hint="default"/>
      </w:rPr>
    </w:lvl>
  </w:abstractNum>
  <w:abstractNum w:abstractNumId="33">
    <w:nsid w:val="00000031"/>
    <w:multiLevelType w:val="singleLevel"/>
    <w:tmpl w:val="00000031"/>
    <w:lvl w:ilvl="0" w:tentative="0">
      <w:start w:val="1"/>
      <w:numFmt w:val="decimal"/>
      <w:suff w:val="nothing"/>
      <w:lvlText w:val="8.%1 "/>
      <w:lvlJc w:val="left"/>
      <w:pPr>
        <w:ind w:left="0" w:firstLine="400"/>
      </w:pPr>
      <w:rPr>
        <w:rFonts w:hint="default"/>
      </w:rPr>
    </w:lvl>
  </w:abstractNum>
  <w:abstractNum w:abstractNumId="34">
    <w:nsid w:val="00000032"/>
    <w:multiLevelType w:val="singleLevel"/>
    <w:tmpl w:val="00000032"/>
    <w:lvl w:ilvl="0" w:tentative="0">
      <w:start w:val="1"/>
      <w:numFmt w:val="decimal"/>
      <w:suff w:val="nothing"/>
      <w:lvlText w:val="21.%1 "/>
      <w:lvlJc w:val="left"/>
      <w:pPr>
        <w:ind w:left="0" w:firstLine="400"/>
      </w:pPr>
      <w:rPr>
        <w:rFonts w:hint="default"/>
      </w:rPr>
    </w:lvl>
  </w:abstractNum>
  <w:abstractNum w:abstractNumId="35">
    <w:nsid w:val="00000033"/>
    <w:multiLevelType w:val="singleLevel"/>
    <w:tmpl w:val="00000033"/>
    <w:lvl w:ilvl="0" w:tentative="0">
      <w:start w:val="1"/>
      <w:numFmt w:val="decimal"/>
      <w:suff w:val="nothing"/>
      <w:lvlText w:val="1.%1 "/>
      <w:lvlJc w:val="left"/>
      <w:pPr>
        <w:ind w:left="0" w:firstLine="400"/>
      </w:pPr>
      <w:rPr>
        <w:rFonts w:hint="default"/>
      </w:rPr>
    </w:lvl>
  </w:abstractNum>
  <w:abstractNum w:abstractNumId="36">
    <w:nsid w:val="00000034"/>
    <w:multiLevelType w:val="singleLevel"/>
    <w:tmpl w:val="00000034"/>
    <w:lvl w:ilvl="0" w:tentative="0">
      <w:start w:val="1"/>
      <w:numFmt w:val="decimal"/>
      <w:suff w:val="nothing"/>
      <w:lvlText w:val="3.%1 "/>
      <w:lvlJc w:val="left"/>
      <w:pPr>
        <w:ind w:left="0" w:firstLine="400"/>
      </w:pPr>
      <w:rPr>
        <w:rFonts w:hint="default"/>
      </w:rPr>
    </w:lvl>
  </w:abstractNum>
  <w:abstractNum w:abstractNumId="37">
    <w:nsid w:val="00000035"/>
    <w:multiLevelType w:val="singleLevel"/>
    <w:tmpl w:val="00000035"/>
    <w:lvl w:ilvl="0" w:tentative="0">
      <w:start w:val="1"/>
      <w:numFmt w:val="decimal"/>
      <w:suff w:val="nothing"/>
      <w:lvlText w:val="26.%1 "/>
      <w:lvlJc w:val="left"/>
      <w:pPr>
        <w:ind w:left="0" w:firstLine="400"/>
      </w:pPr>
      <w:rPr>
        <w:rFonts w:hint="default"/>
      </w:rPr>
    </w:lvl>
  </w:abstractNum>
  <w:abstractNum w:abstractNumId="38">
    <w:nsid w:val="00000038"/>
    <w:multiLevelType w:val="singleLevel"/>
    <w:tmpl w:val="00000038"/>
    <w:lvl w:ilvl="0" w:tentative="0">
      <w:start w:val="1"/>
      <w:numFmt w:val="decimal"/>
      <w:suff w:val="nothing"/>
      <w:lvlText w:val="（%1）"/>
      <w:lvlJc w:val="left"/>
    </w:lvl>
  </w:abstractNum>
  <w:abstractNum w:abstractNumId="39">
    <w:nsid w:val="00000039"/>
    <w:multiLevelType w:val="singleLevel"/>
    <w:tmpl w:val="00000039"/>
    <w:lvl w:ilvl="0" w:tentative="0">
      <w:start w:val="1"/>
      <w:numFmt w:val="decimal"/>
      <w:suff w:val="nothing"/>
      <w:lvlText w:val="（%1）"/>
      <w:lvlJc w:val="left"/>
    </w:lvl>
  </w:abstractNum>
  <w:abstractNum w:abstractNumId="40">
    <w:nsid w:val="0000003A"/>
    <w:multiLevelType w:val="singleLevel"/>
    <w:tmpl w:val="0000003A"/>
    <w:lvl w:ilvl="0" w:tentative="0">
      <w:start w:val="1"/>
      <w:numFmt w:val="decimal"/>
      <w:suff w:val="nothing"/>
      <w:lvlText w:val="9.%1 "/>
      <w:lvlJc w:val="left"/>
      <w:pPr>
        <w:ind w:left="0" w:firstLine="400"/>
      </w:pPr>
      <w:rPr>
        <w:rFonts w:hint="default"/>
      </w:rPr>
    </w:lvl>
  </w:abstractNum>
  <w:abstractNum w:abstractNumId="41">
    <w:nsid w:val="0000003B"/>
    <w:multiLevelType w:val="singleLevel"/>
    <w:tmpl w:val="0000003B"/>
    <w:lvl w:ilvl="0" w:tentative="0">
      <w:start w:val="1"/>
      <w:numFmt w:val="decimal"/>
      <w:suff w:val="nothing"/>
      <w:lvlText w:val="18.%1 "/>
      <w:lvlJc w:val="left"/>
      <w:pPr>
        <w:ind w:left="0" w:firstLine="400"/>
      </w:pPr>
      <w:rPr>
        <w:rFonts w:hint="default"/>
      </w:rPr>
    </w:lvl>
  </w:abstractNum>
  <w:abstractNum w:abstractNumId="42">
    <w:nsid w:val="0000003C"/>
    <w:multiLevelType w:val="singleLevel"/>
    <w:tmpl w:val="0000003C"/>
    <w:lvl w:ilvl="0" w:tentative="0">
      <w:start w:val="1"/>
      <w:numFmt w:val="decimal"/>
      <w:suff w:val="nothing"/>
      <w:lvlText w:val="（%1）"/>
      <w:lvlJc w:val="left"/>
      <w:pPr>
        <w:ind w:left="0" w:firstLine="400"/>
      </w:pPr>
      <w:rPr>
        <w:rFonts w:hint="default"/>
      </w:rPr>
    </w:lvl>
  </w:abstractNum>
  <w:abstractNum w:abstractNumId="43">
    <w:nsid w:val="0000003D"/>
    <w:multiLevelType w:val="singleLevel"/>
    <w:tmpl w:val="0000003D"/>
    <w:lvl w:ilvl="0" w:tentative="0">
      <w:start w:val="1"/>
      <w:numFmt w:val="decimal"/>
      <w:suff w:val="nothing"/>
      <w:lvlText w:val="20.%1 "/>
      <w:lvlJc w:val="left"/>
      <w:pPr>
        <w:ind w:left="0" w:firstLine="400"/>
      </w:pPr>
      <w:rPr>
        <w:rFonts w:hint="default"/>
      </w:rPr>
    </w:lvl>
  </w:abstractNum>
  <w:abstractNum w:abstractNumId="44">
    <w:nsid w:val="0000003E"/>
    <w:multiLevelType w:val="singleLevel"/>
    <w:tmpl w:val="0000003E"/>
    <w:lvl w:ilvl="0" w:tentative="0">
      <w:start w:val="1"/>
      <w:numFmt w:val="decimal"/>
      <w:suff w:val="nothing"/>
      <w:lvlText w:val="（%1）"/>
      <w:lvlJc w:val="left"/>
      <w:pPr>
        <w:ind w:left="0" w:firstLine="400"/>
      </w:pPr>
      <w:rPr>
        <w:rFonts w:hint="default"/>
      </w:rPr>
    </w:lvl>
  </w:abstractNum>
  <w:abstractNum w:abstractNumId="45">
    <w:nsid w:val="127250F3"/>
    <w:multiLevelType w:val="multilevel"/>
    <w:tmpl w:val="127250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194D64B7"/>
    <w:multiLevelType w:val="singleLevel"/>
    <w:tmpl w:val="194D64B7"/>
    <w:lvl w:ilvl="0" w:tentative="0">
      <w:start w:val="1"/>
      <w:numFmt w:val="decimal"/>
      <w:suff w:val="nothing"/>
      <w:lvlText w:val="（%1）"/>
      <w:lvlJc w:val="left"/>
      <w:pPr>
        <w:ind w:left="0" w:firstLine="400"/>
      </w:pPr>
      <w:rPr>
        <w:rFonts w:hint="default"/>
      </w:rPr>
    </w:lvl>
  </w:abstractNum>
  <w:abstractNum w:abstractNumId="47">
    <w:nsid w:val="28382984"/>
    <w:multiLevelType w:val="multilevel"/>
    <w:tmpl w:val="283829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5"/>
  </w:num>
  <w:num w:numId="2">
    <w:abstractNumId w:val="47"/>
  </w:num>
  <w:num w:numId="3">
    <w:abstractNumId w:val="2"/>
  </w:num>
  <w:num w:numId="4">
    <w:abstractNumId w:val="9"/>
  </w:num>
  <w:num w:numId="5">
    <w:abstractNumId w:val="29"/>
  </w:num>
  <w:num w:numId="6">
    <w:abstractNumId w:val="21"/>
  </w:num>
  <w:num w:numId="7">
    <w:abstractNumId w:val="35"/>
  </w:num>
  <w:num w:numId="8">
    <w:abstractNumId w:val="22"/>
  </w:num>
  <w:num w:numId="9">
    <w:abstractNumId w:val="36"/>
  </w:num>
  <w:num w:numId="10">
    <w:abstractNumId w:val="7"/>
  </w:num>
  <w:num w:numId="11">
    <w:abstractNumId w:val="11"/>
  </w:num>
  <w:num w:numId="12">
    <w:abstractNumId w:val="25"/>
  </w:num>
  <w:num w:numId="13">
    <w:abstractNumId w:val="6"/>
  </w:num>
  <w:num w:numId="14">
    <w:abstractNumId w:val="0"/>
  </w:num>
  <w:num w:numId="15">
    <w:abstractNumId w:val="33"/>
  </w:num>
  <w:num w:numId="16">
    <w:abstractNumId w:val="40"/>
  </w:num>
  <w:num w:numId="17">
    <w:abstractNumId w:val="12"/>
  </w:num>
  <w:num w:numId="18">
    <w:abstractNumId w:val="27"/>
  </w:num>
  <w:num w:numId="19">
    <w:abstractNumId w:val="3"/>
  </w:num>
  <w:num w:numId="20">
    <w:abstractNumId w:val="4"/>
  </w:num>
  <w:num w:numId="21">
    <w:abstractNumId w:val="24"/>
  </w:num>
  <w:num w:numId="22">
    <w:abstractNumId w:val="28"/>
  </w:num>
  <w:num w:numId="23">
    <w:abstractNumId w:val="8"/>
  </w:num>
  <w:num w:numId="24">
    <w:abstractNumId w:val="44"/>
  </w:num>
  <w:num w:numId="25">
    <w:abstractNumId w:val="5"/>
  </w:num>
  <w:num w:numId="26">
    <w:abstractNumId w:val="46"/>
  </w:num>
  <w:num w:numId="27">
    <w:abstractNumId w:val="23"/>
  </w:num>
  <w:num w:numId="28">
    <w:abstractNumId w:val="18"/>
  </w:num>
  <w:num w:numId="29">
    <w:abstractNumId w:val="42"/>
  </w:num>
  <w:num w:numId="30">
    <w:abstractNumId w:val="20"/>
  </w:num>
  <w:num w:numId="31">
    <w:abstractNumId w:val="41"/>
  </w:num>
  <w:num w:numId="32">
    <w:abstractNumId w:val="1"/>
  </w:num>
  <w:num w:numId="33">
    <w:abstractNumId w:val="10"/>
  </w:num>
  <w:num w:numId="34">
    <w:abstractNumId w:val="43"/>
  </w:num>
  <w:num w:numId="35">
    <w:abstractNumId w:val="38"/>
  </w:num>
  <w:num w:numId="36">
    <w:abstractNumId w:val="34"/>
  </w:num>
  <w:num w:numId="37">
    <w:abstractNumId w:val="31"/>
  </w:num>
  <w:num w:numId="38">
    <w:abstractNumId w:val="15"/>
  </w:num>
  <w:num w:numId="39">
    <w:abstractNumId w:val="16"/>
  </w:num>
  <w:num w:numId="40">
    <w:abstractNumId w:val="19"/>
  </w:num>
  <w:num w:numId="41">
    <w:abstractNumId w:val="37"/>
  </w:num>
  <w:num w:numId="42">
    <w:abstractNumId w:val="30"/>
  </w:num>
  <w:num w:numId="43">
    <w:abstractNumId w:val="17"/>
  </w:num>
  <w:num w:numId="44">
    <w:abstractNumId w:val="13"/>
  </w:num>
  <w:num w:numId="45">
    <w:abstractNumId w:val="14"/>
  </w:num>
  <w:num w:numId="46">
    <w:abstractNumId w:val="39"/>
  </w:num>
  <w:num w:numId="47">
    <w:abstractNumId w:val="3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ODAwYTRmZDhkNjNiMjBhMGU0NDhmMjlmMjRmZDUifQ=="/>
  </w:docVars>
  <w:rsids>
    <w:rsidRoot w:val="00AE3A2F"/>
    <w:rsid w:val="00002FFC"/>
    <w:rsid w:val="00011A9F"/>
    <w:rsid w:val="0001574C"/>
    <w:rsid w:val="00024105"/>
    <w:rsid w:val="000271BC"/>
    <w:rsid w:val="00027DAD"/>
    <w:rsid w:val="000332EB"/>
    <w:rsid w:val="00044598"/>
    <w:rsid w:val="00046CEF"/>
    <w:rsid w:val="0006218D"/>
    <w:rsid w:val="00063C42"/>
    <w:rsid w:val="00066FA8"/>
    <w:rsid w:val="00067186"/>
    <w:rsid w:val="000709D7"/>
    <w:rsid w:val="000725CF"/>
    <w:rsid w:val="00072E2F"/>
    <w:rsid w:val="00073299"/>
    <w:rsid w:val="00073911"/>
    <w:rsid w:val="000749CF"/>
    <w:rsid w:val="00075BA0"/>
    <w:rsid w:val="00075E08"/>
    <w:rsid w:val="000762B4"/>
    <w:rsid w:val="00076E0D"/>
    <w:rsid w:val="0007769F"/>
    <w:rsid w:val="00077758"/>
    <w:rsid w:val="00080E7E"/>
    <w:rsid w:val="00081C52"/>
    <w:rsid w:val="00082C13"/>
    <w:rsid w:val="000906E4"/>
    <w:rsid w:val="00090BA5"/>
    <w:rsid w:val="000961C0"/>
    <w:rsid w:val="00097DB2"/>
    <w:rsid w:val="000A0EFF"/>
    <w:rsid w:val="000A1E92"/>
    <w:rsid w:val="000A7BF8"/>
    <w:rsid w:val="000B09A2"/>
    <w:rsid w:val="000B1120"/>
    <w:rsid w:val="000B7559"/>
    <w:rsid w:val="000C0141"/>
    <w:rsid w:val="000C503E"/>
    <w:rsid w:val="000C6B56"/>
    <w:rsid w:val="000C7AE2"/>
    <w:rsid w:val="000C7FA8"/>
    <w:rsid w:val="000D05E2"/>
    <w:rsid w:val="000D219C"/>
    <w:rsid w:val="000D3516"/>
    <w:rsid w:val="000D3C7F"/>
    <w:rsid w:val="000D5A65"/>
    <w:rsid w:val="000D5BA3"/>
    <w:rsid w:val="000E155A"/>
    <w:rsid w:val="000E3C3F"/>
    <w:rsid w:val="000E73D4"/>
    <w:rsid w:val="000F08FB"/>
    <w:rsid w:val="000F35A5"/>
    <w:rsid w:val="000F5396"/>
    <w:rsid w:val="000F6508"/>
    <w:rsid w:val="000F78CA"/>
    <w:rsid w:val="00100438"/>
    <w:rsid w:val="00105BDC"/>
    <w:rsid w:val="00106991"/>
    <w:rsid w:val="00107571"/>
    <w:rsid w:val="001112E2"/>
    <w:rsid w:val="00114164"/>
    <w:rsid w:val="0012167E"/>
    <w:rsid w:val="00133767"/>
    <w:rsid w:val="00134DC6"/>
    <w:rsid w:val="0014175F"/>
    <w:rsid w:val="001432BE"/>
    <w:rsid w:val="0014334B"/>
    <w:rsid w:val="0014766D"/>
    <w:rsid w:val="00151F2D"/>
    <w:rsid w:val="0015295A"/>
    <w:rsid w:val="00153F7D"/>
    <w:rsid w:val="00155637"/>
    <w:rsid w:val="00157CAF"/>
    <w:rsid w:val="00160735"/>
    <w:rsid w:val="001608B1"/>
    <w:rsid w:val="00160FFC"/>
    <w:rsid w:val="00161212"/>
    <w:rsid w:val="00161725"/>
    <w:rsid w:val="001627A3"/>
    <w:rsid w:val="00164E0E"/>
    <w:rsid w:val="00165399"/>
    <w:rsid w:val="0016654F"/>
    <w:rsid w:val="001674D3"/>
    <w:rsid w:val="001714E7"/>
    <w:rsid w:val="00173747"/>
    <w:rsid w:val="00173A62"/>
    <w:rsid w:val="00174B84"/>
    <w:rsid w:val="001756C4"/>
    <w:rsid w:val="0017785E"/>
    <w:rsid w:val="00177A70"/>
    <w:rsid w:val="00180631"/>
    <w:rsid w:val="00180D37"/>
    <w:rsid w:val="0018125B"/>
    <w:rsid w:val="001812E1"/>
    <w:rsid w:val="00181789"/>
    <w:rsid w:val="00183654"/>
    <w:rsid w:val="00183778"/>
    <w:rsid w:val="001916F9"/>
    <w:rsid w:val="00191A58"/>
    <w:rsid w:val="00192A6C"/>
    <w:rsid w:val="0019442B"/>
    <w:rsid w:val="001947B8"/>
    <w:rsid w:val="001950B6"/>
    <w:rsid w:val="00196732"/>
    <w:rsid w:val="001A50FF"/>
    <w:rsid w:val="001A7B54"/>
    <w:rsid w:val="001B0CB8"/>
    <w:rsid w:val="001B17C6"/>
    <w:rsid w:val="001B4AB0"/>
    <w:rsid w:val="001C3868"/>
    <w:rsid w:val="001C3FD9"/>
    <w:rsid w:val="001C499E"/>
    <w:rsid w:val="001C4D2F"/>
    <w:rsid w:val="001C6072"/>
    <w:rsid w:val="001C7CE2"/>
    <w:rsid w:val="001D00A6"/>
    <w:rsid w:val="001D0129"/>
    <w:rsid w:val="001D013E"/>
    <w:rsid w:val="001D1213"/>
    <w:rsid w:val="001D13C4"/>
    <w:rsid w:val="001D154F"/>
    <w:rsid w:val="001D49B8"/>
    <w:rsid w:val="001D4D24"/>
    <w:rsid w:val="001D6B17"/>
    <w:rsid w:val="001E0F37"/>
    <w:rsid w:val="001E2589"/>
    <w:rsid w:val="001E57CB"/>
    <w:rsid w:val="001E6644"/>
    <w:rsid w:val="001F350B"/>
    <w:rsid w:val="001F3580"/>
    <w:rsid w:val="001F6EDF"/>
    <w:rsid w:val="0020018F"/>
    <w:rsid w:val="00201E6E"/>
    <w:rsid w:val="0021184F"/>
    <w:rsid w:val="00216BE6"/>
    <w:rsid w:val="002171CA"/>
    <w:rsid w:val="00217722"/>
    <w:rsid w:val="00221A74"/>
    <w:rsid w:val="00223DBC"/>
    <w:rsid w:val="00224147"/>
    <w:rsid w:val="002258C3"/>
    <w:rsid w:val="00225C94"/>
    <w:rsid w:val="002261A2"/>
    <w:rsid w:val="00233D72"/>
    <w:rsid w:val="002366B7"/>
    <w:rsid w:val="00236768"/>
    <w:rsid w:val="00240A34"/>
    <w:rsid w:val="00243170"/>
    <w:rsid w:val="0024324F"/>
    <w:rsid w:val="00244524"/>
    <w:rsid w:val="00244566"/>
    <w:rsid w:val="002464CC"/>
    <w:rsid w:val="002471A3"/>
    <w:rsid w:val="002509AD"/>
    <w:rsid w:val="0025162C"/>
    <w:rsid w:val="00252C5D"/>
    <w:rsid w:val="00252F18"/>
    <w:rsid w:val="002548B9"/>
    <w:rsid w:val="00255992"/>
    <w:rsid w:val="00256109"/>
    <w:rsid w:val="002576FB"/>
    <w:rsid w:val="002613C9"/>
    <w:rsid w:val="00262114"/>
    <w:rsid w:val="002628F1"/>
    <w:rsid w:val="00262EAB"/>
    <w:rsid w:val="00265565"/>
    <w:rsid w:val="0026628E"/>
    <w:rsid w:val="002702B2"/>
    <w:rsid w:val="002707CB"/>
    <w:rsid w:val="00272270"/>
    <w:rsid w:val="00275479"/>
    <w:rsid w:val="00276AEE"/>
    <w:rsid w:val="00277570"/>
    <w:rsid w:val="00282164"/>
    <w:rsid w:val="00293CD1"/>
    <w:rsid w:val="0029701F"/>
    <w:rsid w:val="002978BB"/>
    <w:rsid w:val="002A101F"/>
    <w:rsid w:val="002A38C1"/>
    <w:rsid w:val="002A6593"/>
    <w:rsid w:val="002A6F5C"/>
    <w:rsid w:val="002A7878"/>
    <w:rsid w:val="002B1AD0"/>
    <w:rsid w:val="002B478D"/>
    <w:rsid w:val="002C08BE"/>
    <w:rsid w:val="002C0C91"/>
    <w:rsid w:val="002C0D4B"/>
    <w:rsid w:val="002C70C7"/>
    <w:rsid w:val="002D0767"/>
    <w:rsid w:val="002D1C6A"/>
    <w:rsid w:val="002D42EF"/>
    <w:rsid w:val="002D4B24"/>
    <w:rsid w:val="002D575F"/>
    <w:rsid w:val="002E1D7F"/>
    <w:rsid w:val="002E3A1F"/>
    <w:rsid w:val="002E3AD5"/>
    <w:rsid w:val="002E61AB"/>
    <w:rsid w:val="002E65CE"/>
    <w:rsid w:val="002E7D20"/>
    <w:rsid w:val="002F2C1B"/>
    <w:rsid w:val="002F4CDF"/>
    <w:rsid w:val="002F6ABC"/>
    <w:rsid w:val="003009F6"/>
    <w:rsid w:val="00300DD1"/>
    <w:rsid w:val="00301020"/>
    <w:rsid w:val="003021EC"/>
    <w:rsid w:val="00304EF6"/>
    <w:rsid w:val="00306495"/>
    <w:rsid w:val="003118D7"/>
    <w:rsid w:val="003128CF"/>
    <w:rsid w:val="00316E17"/>
    <w:rsid w:val="003200A6"/>
    <w:rsid w:val="00322229"/>
    <w:rsid w:val="00322C35"/>
    <w:rsid w:val="00325018"/>
    <w:rsid w:val="003269B7"/>
    <w:rsid w:val="00326B8B"/>
    <w:rsid w:val="003322A0"/>
    <w:rsid w:val="00334D0D"/>
    <w:rsid w:val="003426F5"/>
    <w:rsid w:val="00343B17"/>
    <w:rsid w:val="003465EF"/>
    <w:rsid w:val="003476BC"/>
    <w:rsid w:val="0035240C"/>
    <w:rsid w:val="0035490C"/>
    <w:rsid w:val="003551A4"/>
    <w:rsid w:val="00356004"/>
    <w:rsid w:val="0036162B"/>
    <w:rsid w:val="00365087"/>
    <w:rsid w:val="003653CE"/>
    <w:rsid w:val="00365A84"/>
    <w:rsid w:val="00367146"/>
    <w:rsid w:val="00370303"/>
    <w:rsid w:val="00372243"/>
    <w:rsid w:val="0037243F"/>
    <w:rsid w:val="0037246C"/>
    <w:rsid w:val="0037293D"/>
    <w:rsid w:val="00372EE7"/>
    <w:rsid w:val="00373C35"/>
    <w:rsid w:val="00376676"/>
    <w:rsid w:val="003819CC"/>
    <w:rsid w:val="00385968"/>
    <w:rsid w:val="00386204"/>
    <w:rsid w:val="0039049A"/>
    <w:rsid w:val="00394BB2"/>
    <w:rsid w:val="0039576F"/>
    <w:rsid w:val="0039578B"/>
    <w:rsid w:val="0039773B"/>
    <w:rsid w:val="003A24A0"/>
    <w:rsid w:val="003A2C93"/>
    <w:rsid w:val="003A4949"/>
    <w:rsid w:val="003A6B76"/>
    <w:rsid w:val="003B3D6A"/>
    <w:rsid w:val="003B46CF"/>
    <w:rsid w:val="003B4915"/>
    <w:rsid w:val="003C1592"/>
    <w:rsid w:val="003C3597"/>
    <w:rsid w:val="003C3799"/>
    <w:rsid w:val="003C3A00"/>
    <w:rsid w:val="003C45F0"/>
    <w:rsid w:val="003D0701"/>
    <w:rsid w:val="003D2818"/>
    <w:rsid w:val="003D58CB"/>
    <w:rsid w:val="003D6D6A"/>
    <w:rsid w:val="003E14ED"/>
    <w:rsid w:val="003E33A0"/>
    <w:rsid w:val="003E39C9"/>
    <w:rsid w:val="003E5014"/>
    <w:rsid w:val="003E7891"/>
    <w:rsid w:val="003F059E"/>
    <w:rsid w:val="003F07C5"/>
    <w:rsid w:val="003F52C4"/>
    <w:rsid w:val="003F701D"/>
    <w:rsid w:val="0040117E"/>
    <w:rsid w:val="00402011"/>
    <w:rsid w:val="00404A1E"/>
    <w:rsid w:val="00411037"/>
    <w:rsid w:val="00411C6E"/>
    <w:rsid w:val="004138A8"/>
    <w:rsid w:val="004206E7"/>
    <w:rsid w:val="00420C7D"/>
    <w:rsid w:val="004213DB"/>
    <w:rsid w:val="00423A19"/>
    <w:rsid w:val="0042633E"/>
    <w:rsid w:val="004318F7"/>
    <w:rsid w:val="004330AA"/>
    <w:rsid w:val="00433341"/>
    <w:rsid w:val="00434A8C"/>
    <w:rsid w:val="004377F7"/>
    <w:rsid w:val="00441E9A"/>
    <w:rsid w:val="00444E4E"/>
    <w:rsid w:val="0044761F"/>
    <w:rsid w:val="00450AA2"/>
    <w:rsid w:val="004519D6"/>
    <w:rsid w:val="00451C17"/>
    <w:rsid w:val="004553D9"/>
    <w:rsid w:val="00455CC0"/>
    <w:rsid w:val="004607C9"/>
    <w:rsid w:val="00460988"/>
    <w:rsid w:val="004619A0"/>
    <w:rsid w:val="004647AA"/>
    <w:rsid w:val="00465BF0"/>
    <w:rsid w:val="00465F88"/>
    <w:rsid w:val="00465FD6"/>
    <w:rsid w:val="00466A7A"/>
    <w:rsid w:val="00470BBB"/>
    <w:rsid w:val="00470F52"/>
    <w:rsid w:val="004714BF"/>
    <w:rsid w:val="004774DB"/>
    <w:rsid w:val="0048005C"/>
    <w:rsid w:val="00481A3A"/>
    <w:rsid w:val="00484BA4"/>
    <w:rsid w:val="004860FF"/>
    <w:rsid w:val="004879DD"/>
    <w:rsid w:val="004956A6"/>
    <w:rsid w:val="00495900"/>
    <w:rsid w:val="004A14FF"/>
    <w:rsid w:val="004A2D2A"/>
    <w:rsid w:val="004A4052"/>
    <w:rsid w:val="004A5899"/>
    <w:rsid w:val="004A5FAA"/>
    <w:rsid w:val="004A6337"/>
    <w:rsid w:val="004A73CA"/>
    <w:rsid w:val="004B1080"/>
    <w:rsid w:val="004B17EF"/>
    <w:rsid w:val="004B284B"/>
    <w:rsid w:val="004B421B"/>
    <w:rsid w:val="004B4256"/>
    <w:rsid w:val="004B5AC3"/>
    <w:rsid w:val="004B6C6B"/>
    <w:rsid w:val="004C1D84"/>
    <w:rsid w:val="004C3E94"/>
    <w:rsid w:val="004C6CCA"/>
    <w:rsid w:val="004C707C"/>
    <w:rsid w:val="004C7216"/>
    <w:rsid w:val="004C7A3B"/>
    <w:rsid w:val="004D2D55"/>
    <w:rsid w:val="004E01DD"/>
    <w:rsid w:val="004E3011"/>
    <w:rsid w:val="004E5898"/>
    <w:rsid w:val="004E6035"/>
    <w:rsid w:val="004E7D82"/>
    <w:rsid w:val="004F10C3"/>
    <w:rsid w:val="004F1346"/>
    <w:rsid w:val="004F17FA"/>
    <w:rsid w:val="004F63A3"/>
    <w:rsid w:val="004F7C43"/>
    <w:rsid w:val="004F7F37"/>
    <w:rsid w:val="004F7FD9"/>
    <w:rsid w:val="005004BC"/>
    <w:rsid w:val="00501F29"/>
    <w:rsid w:val="0050744C"/>
    <w:rsid w:val="00510129"/>
    <w:rsid w:val="005116F3"/>
    <w:rsid w:val="00511734"/>
    <w:rsid w:val="00512F8C"/>
    <w:rsid w:val="00513E77"/>
    <w:rsid w:val="005156B7"/>
    <w:rsid w:val="00515DAE"/>
    <w:rsid w:val="00520393"/>
    <w:rsid w:val="00523E65"/>
    <w:rsid w:val="0052579B"/>
    <w:rsid w:val="00525A29"/>
    <w:rsid w:val="00527967"/>
    <w:rsid w:val="00531022"/>
    <w:rsid w:val="005337C8"/>
    <w:rsid w:val="00541845"/>
    <w:rsid w:val="00544441"/>
    <w:rsid w:val="005464D7"/>
    <w:rsid w:val="00550343"/>
    <w:rsid w:val="005509E7"/>
    <w:rsid w:val="00552E25"/>
    <w:rsid w:val="0055436C"/>
    <w:rsid w:val="00555A8B"/>
    <w:rsid w:val="005560D1"/>
    <w:rsid w:val="005575D3"/>
    <w:rsid w:val="0056004B"/>
    <w:rsid w:val="00560533"/>
    <w:rsid w:val="005620DA"/>
    <w:rsid w:val="00562B31"/>
    <w:rsid w:val="00567FD0"/>
    <w:rsid w:val="005718CA"/>
    <w:rsid w:val="0057773E"/>
    <w:rsid w:val="00582438"/>
    <w:rsid w:val="0058247E"/>
    <w:rsid w:val="005825D5"/>
    <w:rsid w:val="0059136B"/>
    <w:rsid w:val="0059173C"/>
    <w:rsid w:val="0059449E"/>
    <w:rsid w:val="005972AB"/>
    <w:rsid w:val="005A0273"/>
    <w:rsid w:val="005A085D"/>
    <w:rsid w:val="005A0BB3"/>
    <w:rsid w:val="005A143D"/>
    <w:rsid w:val="005A2D07"/>
    <w:rsid w:val="005A35E7"/>
    <w:rsid w:val="005A490E"/>
    <w:rsid w:val="005B0CAE"/>
    <w:rsid w:val="005B1DC5"/>
    <w:rsid w:val="005B30E4"/>
    <w:rsid w:val="005B46AD"/>
    <w:rsid w:val="005B6DF0"/>
    <w:rsid w:val="005C2B3B"/>
    <w:rsid w:val="005C2ECB"/>
    <w:rsid w:val="005C73A2"/>
    <w:rsid w:val="005D0476"/>
    <w:rsid w:val="005D0B03"/>
    <w:rsid w:val="005D1024"/>
    <w:rsid w:val="005D1AA2"/>
    <w:rsid w:val="005D4934"/>
    <w:rsid w:val="005D5DE7"/>
    <w:rsid w:val="005D652D"/>
    <w:rsid w:val="005E053F"/>
    <w:rsid w:val="005E1F46"/>
    <w:rsid w:val="005E39FB"/>
    <w:rsid w:val="005E4179"/>
    <w:rsid w:val="005F4768"/>
    <w:rsid w:val="0060121E"/>
    <w:rsid w:val="00602408"/>
    <w:rsid w:val="00607B50"/>
    <w:rsid w:val="00610051"/>
    <w:rsid w:val="00611AE5"/>
    <w:rsid w:val="00612525"/>
    <w:rsid w:val="006151E5"/>
    <w:rsid w:val="0062332C"/>
    <w:rsid w:val="00625700"/>
    <w:rsid w:val="00625DB1"/>
    <w:rsid w:val="006275EC"/>
    <w:rsid w:val="006277CB"/>
    <w:rsid w:val="00630B24"/>
    <w:rsid w:val="00631AED"/>
    <w:rsid w:val="00633057"/>
    <w:rsid w:val="006340E7"/>
    <w:rsid w:val="00641308"/>
    <w:rsid w:val="0064172A"/>
    <w:rsid w:val="00642F14"/>
    <w:rsid w:val="006442AE"/>
    <w:rsid w:val="0064473F"/>
    <w:rsid w:val="00645711"/>
    <w:rsid w:val="006465AC"/>
    <w:rsid w:val="0064724A"/>
    <w:rsid w:val="006475CE"/>
    <w:rsid w:val="00653AAC"/>
    <w:rsid w:val="006542EB"/>
    <w:rsid w:val="00654AC0"/>
    <w:rsid w:val="006569C6"/>
    <w:rsid w:val="00663023"/>
    <w:rsid w:val="00663470"/>
    <w:rsid w:val="006644EA"/>
    <w:rsid w:val="00666836"/>
    <w:rsid w:val="00673691"/>
    <w:rsid w:val="00676224"/>
    <w:rsid w:val="006762D9"/>
    <w:rsid w:val="006768E8"/>
    <w:rsid w:val="00676CFD"/>
    <w:rsid w:val="00676E8A"/>
    <w:rsid w:val="00677A38"/>
    <w:rsid w:val="00680FD6"/>
    <w:rsid w:val="0068138D"/>
    <w:rsid w:val="00681969"/>
    <w:rsid w:val="006905EF"/>
    <w:rsid w:val="0069144D"/>
    <w:rsid w:val="00691AF9"/>
    <w:rsid w:val="0069354B"/>
    <w:rsid w:val="00693D29"/>
    <w:rsid w:val="0069447D"/>
    <w:rsid w:val="00695B7A"/>
    <w:rsid w:val="0069773B"/>
    <w:rsid w:val="006A0249"/>
    <w:rsid w:val="006A10B1"/>
    <w:rsid w:val="006A2A1C"/>
    <w:rsid w:val="006B07E3"/>
    <w:rsid w:val="006B12D6"/>
    <w:rsid w:val="006B7B54"/>
    <w:rsid w:val="006C06F9"/>
    <w:rsid w:val="006C0F28"/>
    <w:rsid w:val="006C5D0D"/>
    <w:rsid w:val="006C73A4"/>
    <w:rsid w:val="006C7959"/>
    <w:rsid w:val="006D1B9F"/>
    <w:rsid w:val="006D273E"/>
    <w:rsid w:val="006D46F4"/>
    <w:rsid w:val="006D75C4"/>
    <w:rsid w:val="006D7C7F"/>
    <w:rsid w:val="006E2E8F"/>
    <w:rsid w:val="006F0A96"/>
    <w:rsid w:val="006F2F4D"/>
    <w:rsid w:val="006F4FEE"/>
    <w:rsid w:val="006F5A84"/>
    <w:rsid w:val="006F6479"/>
    <w:rsid w:val="006F72ED"/>
    <w:rsid w:val="00704D8B"/>
    <w:rsid w:val="00705145"/>
    <w:rsid w:val="007059EB"/>
    <w:rsid w:val="00705BF2"/>
    <w:rsid w:val="0070790A"/>
    <w:rsid w:val="007112CA"/>
    <w:rsid w:val="00715A3C"/>
    <w:rsid w:val="007224D3"/>
    <w:rsid w:val="00724149"/>
    <w:rsid w:val="00726ABE"/>
    <w:rsid w:val="00730869"/>
    <w:rsid w:val="007332A3"/>
    <w:rsid w:val="00733716"/>
    <w:rsid w:val="0074065B"/>
    <w:rsid w:val="0074178D"/>
    <w:rsid w:val="007420A2"/>
    <w:rsid w:val="00745FC7"/>
    <w:rsid w:val="0075338F"/>
    <w:rsid w:val="00757FCF"/>
    <w:rsid w:val="007627B5"/>
    <w:rsid w:val="0076345E"/>
    <w:rsid w:val="0077044C"/>
    <w:rsid w:val="00773089"/>
    <w:rsid w:val="007732A3"/>
    <w:rsid w:val="00783AF6"/>
    <w:rsid w:val="007875C6"/>
    <w:rsid w:val="0079178E"/>
    <w:rsid w:val="007924F9"/>
    <w:rsid w:val="007926EF"/>
    <w:rsid w:val="0079424B"/>
    <w:rsid w:val="00794302"/>
    <w:rsid w:val="0079702C"/>
    <w:rsid w:val="007A0BFD"/>
    <w:rsid w:val="007A2CDF"/>
    <w:rsid w:val="007A36D0"/>
    <w:rsid w:val="007A6798"/>
    <w:rsid w:val="007A6E4B"/>
    <w:rsid w:val="007B0F7B"/>
    <w:rsid w:val="007B1400"/>
    <w:rsid w:val="007B267D"/>
    <w:rsid w:val="007B2DA4"/>
    <w:rsid w:val="007B316B"/>
    <w:rsid w:val="007B52F9"/>
    <w:rsid w:val="007B6C1A"/>
    <w:rsid w:val="007B776E"/>
    <w:rsid w:val="007B7A1B"/>
    <w:rsid w:val="007C1DFA"/>
    <w:rsid w:val="007C29F9"/>
    <w:rsid w:val="007C45A1"/>
    <w:rsid w:val="007D2550"/>
    <w:rsid w:val="007D3010"/>
    <w:rsid w:val="007D63D5"/>
    <w:rsid w:val="007D782A"/>
    <w:rsid w:val="007E451D"/>
    <w:rsid w:val="007E4F4B"/>
    <w:rsid w:val="007E54D6"/>
    <w:rsid w:val="007E5AF0"/>
    <w:rsid w:val="007F1966"/>
    <w:rsid w:val="008042B6"/>
    <w:rsid w:val="008049D4"/>
    <w:rsid w:val="00805610"/>
    <w:rsid w:val="00805AD0"/>
    <w:rsid w:val="00807E09"/>
    <w:rsid w:val="00810EDE"/>
    <w:rsid w:val="0081174E"/>
    <w:rsid w:val="00812189"/>
    <w:rsid w:val="00812226"/>
    <w:rsid w:val="00814D55"/>
    <w:rsid w:val="008178B7"/>
    <w:rsid w:val="00820E7D"/>
    <w:rsid w:val="008240DB"/>
    <w:rsid w:val="00824353"/>
    <w:rsid w:val="00825B44"/>
    <w:rsid w:val="00825D19"/>
    <w:rsid w:val="00830FB6"/>
    <w:rsid w:val="0083164C"/>
    <w:rsid w:val="0083227F"/>
    <w:rsid w:val="0083283F"/>
    <w:rsid w:val="00834970"/>
    <w:rsid w:val="0084438C"/>
    <w:rsid w:val="00845CFE"/>
    <w:rsid w:val="00845DB3"/>
    <w:rsid w:val="0084688C"/>
    <w:rsid w:val="00853061"/>
    <w:rsid w:val="00853129"/>
    <w:rsid w:val="00853951"/>
    <w:rsid w:val="00853AB2"/>
    <w:rsid w:val="0085798F"/>
    <w:rsid w:val="00860BA0"/>
    <w:rsid w:val="0086143E"/>
    <w:rsid w:val="00862566"/>
    <w:rsid w:val="00865232"/>
    <w:rsid w:val="00865EE1"/>
    <w:rsid w:val="00866DD7"/>
    <w:rsid w:val="00867658"/>
    <w:rsid w:val="00871B86"/>
    <w:rsid w:val="008736AB"/>
    <w:rsid w:val="00873F81"/>
    <w:rsid w:val="00874AE2"/>
    <w:rsid w:val="0088496C"/>
    <w:rsid w:val="008943CB"/>
    <w:rsid w:val="00896267"/>
    <w:rsid w:val="008970F6"/>
    <w:rsid w:val="008A0759"/>
    <w:rsid w:val="008A16B3"/>
    <w:rsid w:val="008A467C"/>
    <w:rsid w:val="008A6CC4"/>
    <w:rsid w:val="008A7721"/>
    <w:rsid w:val="008B4045"/>
    <w:rsid w:val="008B45CC"/>
    <w:rsid w:val="008B5C78"/>
    <w:rsid w:val="008C157C"/>
    <w:rsid w:val="008C39E7"/>
    <w:rsid w:val="008C6DE1"/>
    <w:rsid w:val="008D1C9F"/>
    <w:rsid w:val="008D24B9"/>
    <w:rsid w:val="008D3214"/>
    <w:rsid w:val="008D4240"/>
    <w:rsid w:val="008D6B51"/>
    <w:rsid w:val="008D7C6B"/>
    <w:rsid w:val="008F0C5E"/>
    <w:rsid w:val="008F3055"/>
    <w:rsid w:val="00901207"/>
    <w:rsid w:val="00901362"/>
    <w:rsid w:val="00901B5F"/>
    <w:rsid w:val="0090547F"/>
    <w:rsid w:val="00911205"/>
    <w:rsid w:val="00913086"/>
    <w:rsid w:val="0091369B"/>
    <w:rsid w:val="00921831"/>
    <w:rsid w:val="009229DA"/>
    <w:rsid w:val="00922A2F"/>
    <w:rsid w:val="00922F8C"/>
    <w:rsid w:val="00924797"/>
    <w:rsid w:val="009253A4"/>
    <w:rsid w:val="009316BE"/>
    <w:rsid w:val="00934BAD"/>
    <w:rsid w:val="00935B48"/>
    <w:rsid w:val="0093667D"/>
    <w:rsid w:val="009411C6"/>
    <w:rsid w:val="0094309A"/>
    <w:rsid w:val="00945F3A"/>
    <w:rsid w:val="009466FD"/>
    <w:rsid w:val="00946735"/>
    <w:rsid w:val="009578B0"/>
    <w:rsid w:val="00957DFD"/>
    <w:rsid w:val="00961BB4"/>
    <w:rsid w:val="009622EB"/>
    <w:rsid w:val="009677F1"/>
    <w:rsid w:val="00976FFE"/>
    <w:rsid w:val="00977115"/>
    <w:rsid w:val="009777A9"/>
    <w:rsid w:val="00977E9A"/>
    <w:rsid w:val="00982319"/>
    <w:rsid w:val="0098371E"/>
    <w:rsid w:val="0098373B"/>
    <w:rsid w:val="009849DD"/>
    <w:rsid w:val="00984B40"/>
    <w:rsid w:val="00985C88"/>
    <w:rsid w:val="00987E03"/>
    <w:rsid w:val="00991930"/>
    <w:rsid w:val="00991ED6"/>
    <w:rsid w:val="00992F95"/>
    <w:rsid w:val="009940A8"/>
    <w:rsid w:val="009959B1"/>
    <w:rsid w:val="009A05F2"/>
    <w:rsid w:val="009A0B2C"/>
    <w:rsid w:val="009A170A"/>
    <w:rsid w:val="009A1A16"/>
    <w:rsid w:val="009A1FB4"/>
    <w:rsid w:val="009A225C"/>
    <w:rsid w:val="009A337D"/>
    <w:rsid w:val="009A719F"/>
    <w:rsid w:val="009A7946"/>
    <w:rsid w:val="009A7E5E"/>
    <w:rsid w:val="009B2FB9"/>
    <w:rsid w:val="009B5A08"/>
    <w:rsid w:val="009B6535"/>
    <w:rsid w:val="009B680D"/>
    <w:rsid w:val="009B6A3F"/>
    <w:rsid w:val="009C1AFD"/>
    <w:rsid w:val="009C2717"/>
    <w:rsid w:val="009C375E"/>
    <w:rsid w:val="009C3CF0"/>
    <w:rsid w:val="009C79BA"/>
    <w:rsid w:val="009D402F"/>
    <w:rsid w:val="009E7E74"/>
    <w:rsid w:val="009F442E"/>
    <w:rsid w:val="009F7D46"/>
    <w:rsid w:val="00A00730"/>
    <w:rsid w:val="00A050AE"/>
    <w:rsid w:val="00A0591F"/>
    <w:rsid w:val="00A05F5C"/>
    <w:rsid w:val="00A07731"/>
    <w:rsid w:val="00A108FB"/>
    <w:rsid w:val="00A14EC9"/>
    <w:rsid w:val="00A15177"/>
    <w:rsid w:val="00A15876"/>
    <w:rsid w:val="00A16378"/>
    <w:rsid w:val="00A1650E"/>
    <w:rsid w:val="00A204C2"/>
    <w:rsid w:val="00A206AA"/>
    <w:rsid w:val="00A20ED1"/>
    <w:rsid w:val="00A234FB"/>
    <w:rsid w:val="00A23A50"/>
    <w:rsid w:val="00A23CDE"/>
    <w:rsid w:val="00A26CFC"/>
    <w:rsid w:val="00A26F9D"/>
    <w:rsid w:val="00A274D1"/>
    <w:rsid w:val="00A31BE8"/>
    <w:rsid w:val="00A32352"/>
    <w:rsid w:val="00A34A2E"/>
    <w:rsid w:val="00A4126E"/>
    <w:rsid w:val="00A43766"/>
    <w:rsid w:val="00A43B35"/>
    <w:rsid w:val="00A43B85"/>
    <w:rsid w:val="00A45DAB"/>
    <w:rsid w:val="00A463E9"/>
    <w:rsid w:val="00A47E42"/>
    <w:rsid w:val="00A52C12"/>
    <w:rsid w:val="00A5507E"/>
    <w:rsid w:val="00A56496"/>
    <w:rsid w:val="00A567B5"/>
    <w:rsid w:val="00A56E30"/>
    <w:rsid w:val="00A573ED"/>
    <w:rsid w:val="00A57F86"/>
    <w:rsid w:val="00A60F8B"/>
    <w:rsid w:val="00A666CE"/>
    <w:rsid w:val="00A672AF"/>
    <w:rsid w:val="00A71CE5"/>
    <w:rsid w:val="00A767A6"/>
    <w:rsid w:val="00A8076F"/>
    <w:rsid w:val="00A80B59"/>
    <w:rsid w:val="00A8248C"/>
    <w:rsid w:val="00A8361F"/>
    <w:rsid w:val="00A8513E"/>
    <w:rsid w:val="00A909B5"/>
    <w:rsid w:val="00A90C07"/>
    <w:rsid w:val="00A96300"/>
    <w:rsid w:val="00AA1B80"/>
    <w:rsid w:val="00AA4656"/>
    <w:rsid w:val="00AA4BF4"/>
    <w:rsid w:val="00AA7977"/>
    <w:rsid w:val="00AB22B6"/>
    <w:rsid w:val="00AB32E0"/>
    <w:rsid w:val="00AB68C0"/>
    <w:rsid w:val="00AB6B3B"/>
    <w:rsid w:val="00AB716B"/>
    <w:rsid w:val="00AC7561"/>
    <w:rsid w:val="00AC7F02"/>
    <w:rsid w:val="00AD3018"/>
    <w:rsid w:val="00AD39E7"/>
    <w:rsid w:val="00AD61C7"/>
    <w:rsid w:val="00AD62E4"/>
    <w:rsid w:val="00AE0DD6"/>
    <w:rsid w:val="00AE21AB"/>
    <w:rsid w:val="00AE2D1B"/>
    <w:rsid w:val="00AE2F97"/>
    <w:rsid w:val="00AE3A2F"/>
    <w:rsid w:val="00AE50EC"/>
    <w:rsid w:val="00AE5366"/>
    <w:rsid w:val="00AF100F"/>
    <w:rsid w:val="00AF5633"/>
    <w:rsid w:val="00B02BA6"/>
    <w:rsid w:val="00B03BED"/>
    <w:rsid w:val="00B05E34"/>
    <w:rsid w:val="00B1051C"/>
    <w:rsid w:val="00B11E7F"/>
    <w:rsid w:val="00B12248"/>
    <w:rsid w:val="00B12BF4"/>
    <w:rsid w:val="00B13AA0"/>
    <w:rsid w:val="00B13D19"/>
    <w:rsid w:val="00B14DD4"/>
    <w:rsid w:val="00B15440"/>
    <w:rsid w:val="00B16789"/>
    <w:rsid w:val="00B172A1"/>
    <w:rsid w:val="00B218D8"/>
    <w:rsid w:val="00B22B73"/>
    <w:rsid w:val="00B273CA"/>
    <w:rsid w:val="00B3087C"/>
    <w:rsid w:val="00B31CE2"/>
    <w:rsid w:val="00B323FB"/>
    <w:rsid w:val="00B3495F"/>
    <w:rsid w:val="00B34EF0"/>
    <w:rsid w:val="00B35604"/>
    <w:rsid w:val="00B357C7"/>
    <w:rsid w:val="00B36E12"/>
    <w:rsid w:val="00B37890"/>
    <w:rsid w:val="00B416CA"/>
    <w:rsid w:val="00B4388C"/>
    <w:rsid w:val="00B4464C"/>
    <w:rsid w:val="00B447EA"/>
    <w:rsid w:val="00B44883"/>
    <w:rsid w:val="00B46963"/>
    <w:rsid w:val="00B50E73"/>
    <w:rsid w:val="00B51FB7"/>
    <w:rsid w:val="00B523D6"/>
    <w:rsid w:val="00B52AE3"/>
    <w:rsid w:val="00B53A11"/>
    <w:rsid w:val="00B55DFD"/>
    <w:rsid w:val="00B562EC"/>
    <w:rsid w:val="00B5736E"/>
    <w:rsid w:val="00B62594"/>
    <w:rsid w:val="00B62690"/>
    <w:rsid w:val="00B637B0"/>
    <w:rsid w:val="00B642A6"/>
    <w:rsid w:val="00B648AE"/>
    <w:rsid w:val="00B6500E"/>
    <w:rsid w:val="00B67513"/>
    <w:rsid w:val="00B73006"/>
    <w:rsid w:val="00B733C6"/>
    <w:rsid w:val="00B75493"/>
    <w:rsid w:val="00B75FE0"/>
    <w:rsid w:val="00B76B16"/>
    <w:rsid w:val="00B813EE"/>
    <w:rsid w:val="00B81E75"/>
    <w:rsid w:val="00B82709"/>
    <w:rsid w:val="00B836D1"/>
    <w:rsid w:val="00B84D6E"/>
    <w:rsid w:val="00B9252E"/>
    <w:rsid w:val="00B92E24"/>
    <w:rsid w:val="00B93DF3"/>
    <w:rsid w:val="00BA04D4"/>
    <w:rsid w:val="00BA433E"/>
    <w:rsid w:val="00BA4478"/>
    <w:rsid w:val="00BA546F"/>
    <w:rsid w:val="00BA5C0D"/>
    <w:rsid w:val="00BA6878"/>
    <w:rsid w:val="00BA78F8"/>
    <w:rsid w:val="00BA7A88"/>
    <w:rsid w:val="00BB0C74"/>
    <w:rsid w:val="00BB1F13"/>
    <w:rsid w:val="00BB33BB"/>
    <w:rsid w:val="00BC21E1"/>
    <w:rsid w:val="00BC2AA0"/>
    <w:rsid w:val="00BD09B9"/>
    <w:rsid w:val="00BD24ED"/>
    <w:rsid w:val="00BD7670"/>
    <w:rsid w:val="00BD7938"/>
    <w:rsid w:val="00BD7E0E"/>
    <w:rsid w:val="00BE142E"/>
    <w:rsid w:val="00BE1CD1"/>
    <w:rsid w:val="00BE230C"/>
    <w:rsid w:val="00BE27C5"/>
    <w:rsid w:val="00BE4000"/>
    <w:rsid w:val="00BE5616"/>
    <w:rsid w:val="00BE7633"/>
    <w:rsid w:val="00BE7895"/>
    <w:rsid w:val="00BF0748"/>
    <w:rsid w:val="00BF2416"/>
    <w:rsid w:val="00BF7E90"/>
    <w:rsid w:val="00C031A5"/>
    <w:rsid w:val="00C046FF"/>
    <w:rsid w:val="00C067AE"/>
    <w:rsid w:val="00C07FEE"/>
    <w:rsid w:val="00C108F6"/>
    <w:rsid w:val="00C1457F"/>
    <w:rsid w:val="00C14AF1"/>
    <w:rsid w:val="00C15246"/>
    <w:rsid w:val="00C152EA"/>
    <w:rsid w:val="00C159AF"/>
    <w:rsid w:val="00C165AF"/>
    <w:rsid w:val="00C17BB8"/>
    <w:rsid w:val="00C20D3F"/>
    <w:rsid w:val="00C25EB8"/>
    <w:rsid w:val="00C34AC9"/>
    <w:rsid w:val="00C41A77"/>
    <w:rsid w:val="00C41D2B"/>
    <w:rsid w:val="00C47167"/>
    <w:rsid w:val="00C507D5"/>
    <w:rsid w:val="00C51E9B"/>
    <w:rsid w:val="00C54F8A"/>
    <w:rsid w:val="00C55630"/>
    <w:rsid w:val="00C57459"/>
    <w:rsid w:val="00C60044"/>
    <w:rsid w:val="00C62B3C"/>
    <w:rsid w:val="00C64C1B"/>
    <w:rsid w:val="00C64C53"/>
    <w:rsid w:val="00C6623F"/>
    <w:rsid w:val="00C67A7A"/>
    <w:rsid w:val="00C70DD6"/>
    <w:rsid w:val="00C71FB9"/>
    <w:rsid w:val="00C72257"/>
    <w:rsid w:val="00C72FCB"/>
    <w:rsid w:val="00C80BA4"/>
    <w:rsid w:val="00C81B0E"/>
    <w:rsid w:val="00C84A64"/>
    <w:rsid w:val="00C8639C"/>
    <w:rsid w:val="00C86A73"/>
    <w:rsid w:val="00C90921"/>
    <w:rsid w:val="00C91667"/>
    <w:rsid w:val="00C92E1B"/>
    <w:rsid w:val="00C9445D"/>
    <w:rsid w:val="00C96CF4"/>
    <w:rsid w:val="00C97D2B"/>
    <w:rsid w:val="00CA1BBE"/>
    <w:rsid w:val="00CA3663"/>
    <w:rsid w:val="00CA3B9A"/>
    <w:rsid w:val="00CA5583"/>
    <w:rsid w:val="00CA5867"/>
    <w:rsid w:val="00CA6085"/>
    <w:rsid w:val="00CA6AAD"/>
    <w:rsid w:val="00CB4604"/>
    <w:rsid w:val="00CC4929"/>
    <w:rsid w:val="00CC6A1D"/>
    <w:rsid w:val="00CC6F9E"/>
    <w:rsid w:val="00CC71C8"/>
    <w:rsid w:val="00CD0509"/>
    <w:rsid w:val="00CD35F6"/>
    <w:rsid w:val="00CD471F"/>
    <w:rsid w:val="00CD5DF3"/>
    <w:rsid w:val="00CD7EED"/>
    <w:rsid w:val="00CE084D"/>
    <w:rsid w:val="00CE38C5"/>
    <w:rsid w:val="00CE69A5"/>
    <w:rsid w:val="00CF014F"/>
    <w:rsid w:val="00CF0DCD"/>
    <w:rsid w:val="00CF1E23"/>
    <w:rsid w:val="00CF7B13"/>
    <w:rsid w:val="00D00BFB"/>
    <w:rsid w:val="00D01F9B"/>
    <w:rsid w:val="00D03ECC"/>
    <w:rsid w:val="00D04793"/>
    <w:rsid w:val="00D04B03"/>
    <w:rsid w:val="00D056BE"/>
    <w:rsid w:val="00D075D3"/>
    <w:rsid w:val="00D11E05"/>
    <w:rsid w:val="00D17521"/>
    <w:rsid w:val="00D17D99"/>
    <w:rsid w:val="00D201B5"/>
    <w:rsid w:val="00D2713B"/>
    <w:rsid w:val="00D3101B"/>
    <w:rsid w:val="00D31CBF"/>
    <w:rsid w:val="00D326E9"/>
    <w:rsid w:val="00D3318F"/>
    <w:rsid w:val="00D3487C"/>
    <w:rsid w:val="00D440E1"/>
    <w:rsid w:val="00D441C2"/>
    <w:rsid w:val="00D5065D"/>
    <w:rsid w:val="00D54FCC"/>
    <w:rsid w:val="00D555D7"/>
    <w:rsid w:val="00D57F53"/>
    <w:rsid w:val="00D6186B"/>
    <w:rsid w:val="00D62EEF"/>
    <w:rsid w:val="00D644AF"/>
    <w:rsid w:val="00D671C2"/>
    <w:rsid w:val="00D705C7"/>
    <w:rsid w:val="00D7294B"/>
    <w:rsid w:val="00D72A7A"/>
    <w:rsid w:val="00D73930"/>
    <w:rsid w:val="00D73D8E"/>
    <w:rsid w:val="00D7452E"/>
    <w:rsid w:val="00D748B3"/>
    <w:rsid w:val="00D7711C"/>
    <w:rsid w:val="00D80771"/>
    <w:rsid w:val="00D8539A"/>
    <w:rsid w:val="00D86EFB"/>
    <w:rsid w:val="00D87B74"/>
    <w:rsid w:val="00D90FA3"/>
    <w:rsid w:val="00D9462B"/>
    <w:rsid w:val="00D94B98"/>
    <w:rsid w:val="00D954C9"/>
    <w:rsid w:val="00D96467"/>
    <w:rsid w:val="00D97EA4"/>
    <w:rsid w:val="00DA0A5F"/>
    <w:rsid w:val="00DA15BB"/>
    <w:rsid w:val="00DA2BB3"/>
    <w:rsid w:val="00DA346D"/>
    <w:rsid w:val="00DA45F1"/>
    <w:rsid w:val="00DA4E06"/>
    <w:rsid w:val="00DA74AD"/>
    <w:rsid w:val="00DB0F29"/>
    <w:rsid w:val="00DB5BB8"/>
    <w:rsid w:val="00DB7720"/>
    <w:rsid w:val="00DC1BB9"/>
    <w:rsid w:val="00DC435F"/>
    <w:rsid w:val="00DC4D02"/>
    <w:rsid w:val="00DC59C3"/>
    <w:rsid w:val="00DC6941"/>
    <w:rsid w:val="00DC7107"/>
    <w:rsid w:val="00DC7E13"/>
    <w:rsid w:val="00DD0E9D"/>
    <w:rsid w:val="00DD1639"/>
    <w:rsid w:val="00DD2D9C"/>
    <w:rsid w:val="00DD509D"/>
    <w:rsid w:val="00DD50F6"/>
    <w:rsid w:val="00DD6179"/>
    <w:rsid w:val="00DE2100"/>
    <w:rsid w:val="00DE280C"/>
    <w:rsid w:val="00DE3B29"/>
    <w:rsid w:val="00DE3BE8"/>
    <w:rsid w:val="00DE458A"/>
    <w:rsid w:val="00DE75F0"/>
    <w:rsid w:val="00DF156D"/>
    <w:rsid w:val="00DF32D1"/>
    <w:rsid w:val="00DF4CCF"/>
    <w:rsid w:val="00DF5EAD"/>
    <w:rsid w:val="00DF6265"/>
    <w:rsid w:val="00E0004E"/>
    <w:rsid w:val="00E06B4E"/>
    <w:rsid w:val="00E06F86"/>
    <w:rsid w:val="00E06FAC"/>
    <w:rsid w:val="00E13D35"/>
    <w:rsid w:val="00E16551"/>
    <w:rsid w:val="00E20138"/>
    <w:rsid w:val="00E25C90"/>
    <w:rsid w:val="00E2701B"/>
    <w:rsid w:val="00E3127B"/>
    <w:rsid w:val="00E32953"/>
    <w:rsid w:val="00E335B4"/>
    <w:rsid w:val="00E34358"/>
    <w:rsid w:val="00E34D81"/>
    <w:rsid w:val="00E35860"/>
    <w:rsid w:val="00E36F30"/>
    <w:rsid w:val="00E43DF4"/>
    <w:rsid w:val="00E4440B"/>
    <w:rsid w:val="00E449A7"/>
    <w:rsid w:val="00E45377"/>
    <w:rsid w:val="00E50771"/>
    <w:rsid w:val="00E51499"/>
    <w:rsid w:val="00E5308A"/>
    <w:rsid w:val="00E554FA"/>
    <w:rsid w:val="00E56532"/>
    <w:rsid w:val="00E56AEC"/>
    <w:rsid w:val="00E602C5"/>
    <w:rsid w:val="00E61AF8"/>
    <w:rsid w:val="00E64994"/>
    <w:rsid w:val="00E654C5"/>
    <w:rsid w:val="00E6710F"/>
    <w:rsid w:val="00E672AA"/>
    <w:rsid w:val="00E724ED"/>
    <w:rsid w:val="00E80A6A"/>
    <w:rsid w:val="00E816EF"/>
    <w:rsid w:val="00E864BC"/>
    <w:rsid w:val="00E91186"/>
    <w:rsid w:val="00E91530"/>
    <w:rsid w:val="00E92E30"/>
    <w:rsid w:val="00E94840"/>
    <w:rsid w:val="00EA0127"/>
    <w:rsid w:val="00EA4028"/>
    <w:rsid w:val="00EA50BA"/>
    <w:rsid w:val="00EA5D25"/>
    <w:rsid w:val="00EB0D71"/>
    <w:rsid w:val="00EB1752"/>
    <w:rsid w:val="00EB196F"/>
    <w:rsid w:val="00EB27C6"/>
    <w:rsid w:val="00EB4548"/>
    <w:rsid w:val="00EB7BC5"/>
    <w:rsid w:val="00EB7FAF"/>
    <w:rsid w:val="00EC2BA5"/>
    <w:rsid w:val="00EC2D38"/>
    <w:rsid w:val="00EC3D84"/>
    <w:rsid w:val="00EC3DD6"/>
    <w:rsid w:val="00EC4BAD"/>
    <w:rsid w:val="00EC63E0"/>
    <w:rsid w:val="00EC72A6"/>
    <w:rsid w:val="00EC7C9E"/>
    <w:rsid w:val="00ED1670"/>
    <w:rsid w:val="00ED1C3B"/>
    <w:rsid w:val="00ED6F2E"/>
    <w:rsid w:val="00ED76CD"/>
    <w:rsid w:val="00ED7FB0"/>
    <w:rsid w:val="00EE119E"/>
    <w:rsid w:val="00EE4F13"/>
    <w:rsid w:val="00EF0D56"/>
    <w:rsid w:val="00EF1F80"/>
    <w:rsid w:val="00EF2499"/>
    <w:rsid w:val="00EF28BA"/>
    <w:rsid w:val="00EF34E6"/>
    <w:rsid w:val="00F00873"/>
    <w:rsid w:val="00F015BA"/>
    <w:rsid w:val="00F02F84"/>
    <w:rsid w:val="00F03B3A"/>
    <w:rsid w:val="00F04925"/>
    <w:rsid w:val="00F07E12"/>
    <w:rsid w:val="00F112C2"/>
    <w:rsid w:val="00F130F9"/>
    <w:rsid w:val="00F1576E"/>
    <w:rsid w:val="00F22035"/>
    <w:rsid w:val="00F22323"/>
    <w:rsid w:val="00F234AA"/>
    <w:rsid w:val="00F242F7"/>
    <w:rsid w:val="00F308E7"/>
    <w:rsid w:val="00F30C60"/>
    <w:rsid w:val="00F3159A"/>
    <w:rsid w:val="00F32268"/>
    <w:rsid w:val="00F35BB8"/>
    <w:rsid w:val="00F37750"/>
    <w:rsid w:val="00F378BC"/>
    <w:rsid w:val="00F4359B"/>
    <w:rsid w:val="00F44B12"/>
    <w:rsid w:val="00F45F36"/>
    <w:rsid w:val="00F46A4B"/>
    <w:rsid w:val="00F47016"/>
    <w:rsid w:val="00F527E9"/>
    <w:rsid w:val="00F52E30"/>
    <w:rsid w:val="00F52E52"/>
    <w:rsid w:val="00F5499A"/>
    <w:rsid w:val="00F56046"/>
    <w:rsid w:val="00F561CE"/>
    <w:rsid w:val="00F608F3"/>
    <w:rsid w:val="00F60B19"/>
    <w:rsid w:val="00F62280"/>
    <w:rsid w:val="00F62796"/>
    <w:rsid w:val="00F62943"/>
    <w:rsid w:val="00F63267"/>
    <w:rsid w:val="00F63CB0"/>
    <w:rsid w:val="00F64D23"/>
    <w:rsid w:val="00F66D3F"/>
    <w:rsid w:val="00F67582"/>
    <w:rsid w:val="00F67A00"/>
    <w:rsid w:val="00F7016D"/>
    <w:rsid w:val="00F71860"/>
    <w:rsid w:val="00F719BC"/>
    <w:rsid w:val="00F71D96"/>
    <w:rsid w:val="00F71F83"/>
    <w:rsid w:val="00F75191"/>
    <w:rsid w:val="00F76ED6"/>
    <w:rsid w:val="00F82943"/>
    <w:rsid w:val="00F93F1B"/>
    <w:rsid w:val="00F9485C"/>
    <w:rsid w:val="00FA2264"/>
    <w:rsid w:val="00FA29A0"/>
    <w:rsid w:val="00FA3884"/>
    <w:rsid w:val="00FA73F9"/>
    <w:rsid w:val="00FA77C6"/>
    <w:rsid w:val="00FB0C02"/>
    <w:rsid w:val="00FB28A5"/>
    <w:rsid w:val="00FB2B3A"/>
    <w:rsid w:val="00FB3AAD"/>
    <w:rsid w:val="00FB7A45"/>
    <w:rsid w:val="00FC318C"/>
    <w:rsid w:val="00FC3407"/>
    <w:rsid w:val="00FC4910"/>
    <w:rsid w:val="00FC63D9"/>
    <w:rsid w:val="00FC64EC"/>
    <w:rsid w:val="00FC6851"/>
    <w:rsid w:val="00FD4A6C"/>
    <w:rsid w:val="00FD5578"/>
    <w:rsid w:val="00FD59B8"/>
    <w:rsid w:val="00FD6A77"/>
    <w:rsid w:val="00FE2D2A"/>
    <w:rsid w:val="00FE3E8E"/>
    <w:rsid w:val="00FE63D0"/>
    <w:rsid w:val="00FE72A5"/>
    <w:rsid w:val="00FF4399"/>
    <w:rsid w:val="00FF5314"/>
    <w:rsid w:val="016E1098"/>
    <w:rsid w:val="02F07CF4"/>
    <w:rsid w:val="053527D6"/>
    <w:rsid w:val="05412CA3"/>
    <w:rsid w:val="068F6DED"/>
    <w:rsid w:val="07CC2F22"/>
    <w:rsid w:val="11166833"/>
    <w:rsid w:val="1178129C"/>
    <w:rsid w:val="18E36F68"/>
    <w:rsid w:val="1A126470"/>
    <w:rsid w:val="1C1C1D31"/>
    <w:rsid w:val="1EAB1A6E"/>
    <w:rsid w:val="1F542981"/>
    <w:rsid w:val="21470C8B"/>
    <w:rsid w:val="21B65B9E"/>
    <w:rsid w:val="225F6B30"/>
    <w:rsid w:val="264F279A"/>
    <w:rsid w:val="2B443FC2"/>
    <w:rsid w:val="2E7F37A8"/>
    <w:rsid w:val="2F9D17CE"/>
    <w:rsid w:val="31EEAA5E"/>
    <w:rsid w:val="34CC459C"/>
    <w:rsid w:val="377023E1"/>
    <w:rsid w:val="377A7599"/>
    <w:rsid w:val="37D53A42"/>
    <w:rsid w:val="3AFBD5EE"/>
    <w:rsid w:val="3BD827B4"/>
    <w:rsid w:val="3BFFA5D4"/>
    <w:rsid w:val="403A72E0"/>
    <w:rsid w:val="42613503"/>
    <w:rsid w:val="442171C4"/>
    <w:rsid w:val="46AC29FA"/>
    <w:rsid w:val="48DF1625"/>
    <w:rsid w:val="4C0B44E0"/>
    <w:rsid w:val="4FCB6460"/>
    <w:rsid w:val="4FDB777A"/>
    <w:rsid w:val="519B0DB0"/>
    <w:rsid w:val="53F401BE"/>
    <w:rsid w:val="56DD7718"/>
    <w:rsid w:val="5C3B4049"/>
    <w:rsid w:val="5EE2D2B8"/>
    <w:rsid w:val="5FEF02EA"/>
    <w:rsid w:val="69FB402B"/>
    <w:rsid w:val="6B22602E"/>
    <w:rsid w:val="6DDD29B3"/>
    <w:rsid w:val="7131715F"/>
    <w:rsid w:val="71F7B546"/>
    <w:rsid w:val="754632BF"/>
    <w:rsid w:val="764364A0"/>
    <w:rsid w:val="78754042"/>
    <w:rsid w:val="78D5196F"/>
    <w:rsid w:val="79D73A1D"/>
    <w:rsid w:val="7DFD6DA8"/>
    <w:rsid w:val="7EFEFB89"/>
    <w:rsid w:val="7F97E280"/>
    <w:rsid w:val="7FBF2AD6"/>
    <w:rsid w:val="7FF297F3"/>
    <w:rsid w:val="CFF7C2E3"/>
    <w:rsid w:val="D7F5822B"/>
    <w:rsid w:val="DDCAF076"/>
    <w:rsid w:val="DF3FF2E5"/>
    <w:rsid w:val="EC9E7534"/>
    <w:rsid w:val="F3D503D1"/>
    <w:rsid w:val="FA9A71DE"/>
    <w:rsid w:val="FB9F26CF"/>
    <w:rsid w:val="FBFFC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99" w:semiHidden="0"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9"/>
    <w:pPr>
      <w:keepNext/>
      <w:keepLines/>
      <w:spacing w:before="340" w:after="330" w:line="578" w:lineRule="auto"/>
      <w:outlineLvl w:val="0"/>
    </w:pPr>
    <w:rPr>
      <w:b/>
      <w:bCs/>
      <w:kern w:val="44"/>
      <w:sz w:val="44"/>
      <w:szCs w:val="44"/>
      <w:lang w:val="zh-CN"/>
    </w:rPr>
  </w:style>
  <w:style w:type="paragraph" w:styleId="3">
    <w:name w:val="heading 2"/>
    <w:basedOn w:val="1"/>
    <w:next w:val="1"/>
    <w:link w:val="32"/>
    <w:qFormat/>
    <w:uiPriority w:val="0"/>
    <w:pPr>
      <w:keepNext/>
      <w:keepLines/>
      <w:spacing w:before="260" w:after="260"/>
      <w:outlineLvl w:val="1"/>
    </w:pPr>
    <w:rPr>
      <w:rFonts w:ascii="Arial" w:hAnsi="Arial"/>
      <w:bCs/>
      <w:sz w:val="28"/>
      <w:szCs w:val="32"/>
      <w:lang w:val="zh-CN"/>
    </w:rPr>
  </w:style>
  <w:style w:type="paragraph" w:styleId="4">
    <w:name w:val="heading 3"/>
    <w:basedOn w:val="1"/>
    <w:next w:val="1"/>
    <w:link w:val="33"/>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6"/>
    <w:unhideWhenUsed/>
    <w:qFormat/>
    <w:uiPriority w:val="9"/>
    <w:pPr>
      <w:keepNext/>
      <w:keepLines/>
      <w:spacing w:before="240" w:after="64" w:line="320" w:lineRule="auto"/>
      <w:outlineLvl w:val="6"/>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unhideWhenUsed/>
    <w:qFormat/>
    <w:uiPriority w:val="0"/>
    <w:pPr>
      <w:jc w:val="left"/>
    </w:pPr>
  </w:style>
  <w:style w:type="paragraph" w:styleId="10">
    <w:name w:val="Body Text 3"/>
    <w:basedOn w:val="1"/>
    <w:link w:val="87"/>
    <w:semiHidden/>
    <w:unhideWhenUsed/>
    <w:qFormat/>
    <w:uiPriority w:val="99"/>
    <w:pPr>
      <w:spacing w:after="120"/>
    </w:pPr>
    <w:rPr>
      <w:sz w:val="16"/>
      <w:szCs w:val="16"/>
    </w:rPr>
  </w:style>
  <w:style w:type="paragraph" w:styleId="11">
    <w:name w:val="Body Text"/>
    <w:basedOn w:val="1"/>
    <w:link w:val="50"/>
    <w:qFormat/>
    <w:uiPriority w:val="0"/>
    <w:pPr>
      <w:spacing w:line="380" w:lineRule="exact"/>
    </w:pPr>
    <w:rPr>
      <w:rFonts w:asciiTheme="minorHAnsi" w:hAnsiTheme="minorHAnsi" w:eastAsiaTheme="minorEastAsia" w:cstheme="minorBidi"/>
      <w:sz w:val="24"/>
    </w:rPr>
  </w:style>
  <w:style w:type="paragraph" w:styleId="12">
    <w:name w:val="Body Text Indent"/>
    <w:basedOn w:val="1"/>
    <w:link w:val="63"/>
    <w:qFormat/>
    <w:uiPriority w:val="99"/>
    <w:pPr>
      <w:spacing w:after="80" w:line="600" w:lineRule="atLeast"/>
      <w:ind w:firstLine="480"/>
    </w:pPr>
    <w:rPr>
      <w:sz w:val="24"/>
    </w:rPr>
  </w:style>
  <w:style w:type="paragraph" w:styleId="13">
    <w:name w:val="toc 3"/>
    <w:basedOn w:val="1"/>
    <w:next w:val="1"/>
    <w:qFormat/>
    <w:uiPriority w:val="39"/>
    <w:pPr>
      <w:widowControl/>
      <w:spacing w:after="100" w:line="276" w:lineRule="auto"/>
      <w:ind w:left="440"/>
      <w:jc w:val="left"/>
    </w:pPr>
    <w:rPr>
      <w:kern w:val="0"/>
      <w:sz w:val="22"/>
    </w:rPr>
  </w:style>
  <w:style w:type="paragraph" w:styleId="14">
    <w:name w:val="Plain Text"/>
    <w:basedOn w:val="1"/>
    <w:link w:val="49"/>
    <w:unhideWhenUsed/>
    <w:qFormat/>
    <w:uiPriority w:val="0"/>
    <w:rPr>
      <w:rFonts w:ascii="Times New Roman" w:hAnsi="Times New Roman"/>
      <w:kern w:val="0"/>
      <w:sz w:val="20"/>
      <w:szCs w:val="20"/>
      <w:lang w:val="zh-CN" w:eastAsia="en-US"/>
    </w:rPr>
  </w:style>
  <w:style w:type="paragraph" w:styleId="15">
    <w:name w:val="Date"/>
    <w:basedOn w:val="1"/>
    <w:next w:val="1"/>
    <w:link w:val="64"/>
    <w:qFormat/>
    <w:uiPriority w:val="99"/>
    <w:pPr>
      <w:spacing w:after="80"/>
      <w:ind w:left="100" w:leftChars="2500"/>
    </w:pPr>
  </w:style>
  <w:style w:type="paragraph" w:styleId="16">
    <w:name w:val="Body Text Indent 2"/>
    <w:basedOn w:val="1"/>
    <w:link w:val="60"/>
    <w:qFormat/>
    <w:uiPriority w:val="0"/>
    <w:pPr>
      <w:snapToGrid w:val="0"/>
      <w:ind w:firstLine="542" w:firstLineChars="225"/>
    </w:pPr>
    <w:rPr>
      <w:rFonts w:ascii="仿宋_GB2312" w:hAnsi="宋体" w:cs="Arial"/>
      <w:b/>
      <w:bCs/>
      <w:color w:val="000000"/>
      <w:sz w:val="24"/>
      <w:szCs w:val="24"/>
    </w:rPr>
  </w:style>
  <w:style w:type="paragraph" w:styleId="17">
    <w:name w:val="Balloon Text"/>
    <w:basedOn w:val="1"/>
    <w:link w:val="43"/>
    <w:unhideWhenUsed/>
    <w:qFormat/>
    <w:uiPriority w:val="99"/>
    <w:rPr>
      <w:sz w:val="18"/>
      <w:szCs w:val="18"/>
    </w:rPr>
  </w:style>
  <w:style w:type="paragraph" w:styleId="18">
    <w:name w:val="footer"/>
    <w:basedOn w:val="1"/>
    <w:link w:val="41"/>
    <w:unhideWhenUsed/>
    <w:qFormat/>
    <w:uiPriority w:val="0"/>
    <w:pPr>
      <w:tabs>
        <w:tab w:val="center" w:pos="4153"/>
        <w:tab w:val="right" w:pos="8306"/>
      </w:tabs>
      <w:snapToGrid w:val="0"/>
      <w:jc w:val="left"/>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kern w:val="0"/>
      <w:sz w:val="22"/>
    </w:rPr>
  </w:style>
  <w:style w:type="paragraph" w:styleId="21">
    <w:name w:val="toc 6"/>
    <w:basedOn w:val="1"/>
    <w:next w:val="1"/>
    <w:qFormat/>
    <w:uiPriority w:val="99"/>
    <w:pPr>
      <w:spacing w:after="80"/>
      <w:ind w:left="2100" w:leftChars="1000"/>
    </w:pPr>
  </w:style>
  <w:style w:type="paragraph" w:styleId="22">
    <w:name w:val="toc 2"/>
    <w:basedOn w:val="1"/>
    <w:next w:val="1"/>
    <w:qFormat/>
    <w:uiPriority w:val="39"/>
    <w:pPr>
      <w:widowControl/>
      <w:spacing w:after="100" w:line="276" w:lineRule="auto"/>
      <w:ind w:left="220"/>
      <w:jc w:val="left"/>
    </w:pPr>
    <w:rPr>
      <w:kern w:val="0"/>
      <w:sz w:val="22"/>
    </w:rPr>
  </w:style>
  <w:style w:type="paragraph" w:styleId="23">
    <w:name w:val="Normal (Web)"/>
    <w:basedOn w:val="1"/>
    <w:unhideWhenUsed/>
    <w:qFormat/>
    <w:uiPriority w:val="99"/>
    <w:rPr>
      <w:rFonts w:ascii="Times New Roman" w:hAnsi="Times New Roman"/>
      <w:sz w:val="24"/>
      <w:szCs w:val="24"/>
    </w:rPr>
  </w:style>
  <w:style w:type="paragraph" w:styleId="24">
    <w:name w:val="annotation subject"/>
    <w:basedOn w:val="9"/>
    <w:next w:val="9"/>
    <w:link w:val="45"/>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qFormat/>
    <w:uiPriority w:val="99"/>
    <w:rPr>
      <w:rFonts w:cs="Times New Roman"/>
      <w:color w:val="0000FF"/>
      <w:u w:val="single"/>
    </w:rPr>
  </w:style>
  <w:style w:type="character" w:styleId="30">
    <w:name w:val="annotation reference"/>
    <w:basedOn w:val="27"/>
    <w:unhideWhenUsed/>
    <w:qFormat/>
    <w:uiPriority w:val="0"/>
    <w:rPr>
      <w:sz w:val="21"/>
      <w:szCs w:val="21"/>
    </w:rPr>
  </w:style>
  <w:style w:type="character" w:customStyle="1" w:styleId="31">
    <w:name w:val="标题 1 字符"/>
    <w:basedOn w:val="27"/>
    <w:link w:val="2"/>
    <w:qFormat/>
    <w:uiPriority w:val="99"/>
    <w:rPr>
      <w:rFonts w:ascii="Calibri" w:hAnsi="Calibri" w:eastAsia="宋体" w:cs="Times New Roman"/>
      <w:b/>
      <w:bCs/>
      <w:kern w:val="44"/>
      <w:sz w:val="44"/>
      <w:szCs w:val="44"/>
      <w:lang w:val="zh-CN"/>
    </w:rPr>
  </w:style>
  <w:style w:type="character" w:customStyle="1" w:styleId="32">
    <w:name w:val="标题 2 字符"/>
    <w:basedOn w:val="27"/>
    <w:link w:val="3"/>
    <w:qFormat/>
    <w:uiPriority w:val="0"/>
    <w:rPr>
      <w:rFonts w:ascii="Arial" w:hAnsi="Arial" w:eastAsia="宋体" w:cs="Times New Roman"/>
      <w:bCs/>
      <w:sz w:val="28"/>
      <w:szCs w:val="32"/>
      <w:lang w:val="zh-CN"/>
    </w:rPr>
  </w:style>
  <w:style w:type="character" w:customStyle="1" w:styleId="33">
    <w:name w:val="标题 3 字符"/>
    <w:basedOn w:val="27"/>
    <w:link w:val="4"/>
    <w:qFormat/>
    <w:uiPriority w:val="99"/>
    <w:rPr>
      <w:rFonts w:ascii="Calibri" w:hAnsi="Calibri" w:eastAsia="宋体" w:cs="Times New Roman"/>
      <w:b/>
      <w:bCs/>
      <w:sz w:val="32"/>
      <w:szCs w:val="32"/>
    </w:rPr>
  </w:style>
  <w:style w:type="character" w:customStyle="1" w:styleId="34">
    <w:name w:val="标题 4 字符"/>
    <w:basedOn w:val="27"/>
    <w:link w:val="5"/>
    <w:qFormat/>
    <w:uiPriority w:val="9"/>
    <w:rPr>
      <w:rFonts w:ascii="等线 Light" w:hAnsi="等线 Light" w:eastAsia="等线 Light" w:cs="Times New Roman"/>
      <w:b/>
      <w:bCs/>
      <w:sz w:val="28"/>
      <w:szCs w:val="28"/>
    </w:rPr>
  </w:style>
  <w:style w:type="character" w:customStyle="1" w:styleId="35">
    <w:name w:val="标题 5 字符"/>
    <w:basedOn w:val="27"/>
    <w:link w:val="6"/>
    <w:qFormat/>
    <w:uiPriority w:val="9"/>
    <w:rPr>
      <w:rFonts w:ascii="Calibri" w:hAnsi="Calibri" w:eastAsia="宋体" w:cs="Times New Roman"/>
      <w:b/>
      <w:bCs/>
      <w:sz w:val="28"/>
      <w:szCs w:val="28"/>
    </w:rPr>
  </w:style>
  <w:style w:type="paragraph" w:customStyle="1" w:styleId="36">
    <w:name w:val="文章正文"/>
    <w:basedOn w:val="1"/>
    <w:link w:val="37"/>
    <w:qFormat/>
    <w:uiPriority w:val="0"/>
    <w:pPr>
      <w:adjustRightInd w:val="0"/>
      <w:snapToGrid w:val="0"/>
      <w:spacing w:line="360" w:lineRule="auto"/>
      <w:ind w:firstLine="420" w:firstLineChars="200"/>
    </w:pPr>
    <w:rPr>
      <w:rFonts w:ascii="Times New Roman" w:hAnsi="Times New Roman"/>
      <w:szCs w:val="21"/>
    </w:rPr>
  </w:style>
  <w:style w:type="character" w:customStyle="1" w:styleId="37">
    <w:name w:val="文章正文 Char"/>
    <w:link w:val="36"/>
    <w:qFormat/>
    <w:uiPriority w:val="0"/>
    <w:rPr>
      <w:rFonts w:ascii="Times New Roman" w:hAnsi="Times New Roman" w:eastAsia="宋体" w:cs="Times New Roman"/>
      <w:szCs w:val="21"/>
    </w:rPr>
  </w:style>
  <w:style w:type="character" w:customStyle="1" w:styleId="38">
    <w:name w:val="font31"/>
    <w:basedOn w:val="27"/>
    <w:qFormat/>
    <w:uiPriority w:val="0"/>
    <w:rPr>
      <w:rFonts w:hint="eastAsia" w:ascii="宋体" w:hAnsi="宋体" w:eastAsia="宋体" w:cs="宋体"/>
      <w:b/>
      <w:color w:val="000000"/>
      <w:sz w:val="22"/>
      <w:szCs w:val="22"/>
      <w:u w:val="none"/>
    </w:rPr>
  </w:style>
  <w:style w:type="character" w:customStyle="1" w:styleId="39">
    <w:name w:val="font01"/>
    <w:basedOn w:val="27"/>
    <w:qFormat/>
    <w:uiPriority w:val="99"/>
    <w:rPr>
      <w:rFonts w:ascii="font-weight : 400" w:hAnsi="font-weight : 400" w:eastAsia="font-weight : 400" w:cs="font-weight : 400"/>
      <w:color w:val="000000"/>
      <w:sz w:val="22"/>
      <w:szCs w:val="22"/>
      <w:u w:val="none"/>
    </w:rPr>
  </w:style>
  <w:style w:type="character" w:customStyle="1" w:styleId="40">
    <w:name w:val="页眉 字符"/>
    <w:basedOn w:val="27"/>
    <w:link w:val="19"/>
    <w:qFormat/>
    <w:uiPriority w:val="99"/>
    <w:rPr>
      <w:rFonts w:ascii="Calibri" w:hAnsi="Calibri" w:eastAsia="宋体" w:cs="Times New Roman"/>
      <w:sz w:val="18"/>
      <w:szCs w:val="18"/>
    </w:rPr>
  </w:style>
  <w:style w:type="character" w:customStyle="1" w:styleId="41">
    <w:name w:val="页脚 字符"/>
    <w:basedOn w:val="27"/>
    <w:link w:val="18"/>
    <w:qFormat/>
    <w:uiPriority w:val="99"/>
    <w:rPr>
      <w:rFonts w:ascii="Calibri" w:hAnsi="Calibri" w:eastAsia="宋体" w:cs="Times New Roman"/>
      <w:sz w:val="18"/>
      <w:szCs w:val="18"/>
    </w:rPr>
  </w:style>
  <w:style w:type="paragraph" w:styleId="42">
    <w:name w:val="List Paragraph"/>
    <w:basedOn w:val="1"/>
    <w:qFormat/>
    <w:uiPriority w:val="99"/>
    <w:pPr>
      <w:ind w:firstLine="420" w:firstLineChars="200"/>
    </w:pPr>
  </w:style>
  <w:style w:type="character" w:customStyle="1" w:styleId="43">
    <w:name w:val="批注框文本 字符"/>
    <w:basedOn w:val="27"/>
    <w:link w:val="17"/>
    <w:qFormat/>
    <w:uiPriority w:val="99"/>
    <w:rPr>
      <w:rFonts w:ascii="Calibri" w:hAnsi="Calibri" w:eastAsia="宋体" w:cs="Times New Roman"/>
      <w:sz w:val="18"/>
      <w:szCs w:val="18"/>
    </w:rPr>
  </w:style>
  <w:style w:type="character" w:customStyle="1" w:styleId="44">
    <w:name w:val="批注文字 字符"/>
    <w:basedOn w:val="27"/>
    <w:link w:val="9"/>
    <w:qFormat/>
    <w:uiPriority w:val="99"/>
    <w:rPr>
      <w:rFonts w:ascii="Calibri" w:hAnsi="Calibri" w:eastAsia="宋体" w:cs="Times New Roman"/>
    </w:rPr>
  </w:style>
  <w:style w:type="character" w:customStyle="1" w:styleId="45">
    <w:name w:val="批注主题 字符"/>
    <w:basedOn w:val="44"/>
    <w:link w:val="24"/>
    <w:qFormat/>
    <w:uiPriority w:val="99"/>
    <w:rPr>
      <w:rFonts w:ascii="Calibri" w:hAnsi="Calibri" w:eastAsia="宋体" w:cs="Times New Roman"/>
      <w:b/>
      <w:bCs/>
    </w:rPr>
  </w:style>
  <w:style w:type="character" w:customStyle="1" w:styleId="46">
    <w:name w:val="html_txt1"/>
    <w:qFormat/>
    <w:uiPriority w:val="0"/>
    <w:rPr>
      <w:color w:val="000000"/>
    </w:rPr>
  </w:style>
  <w:style w:type="paragraph" w:customStyle="1" w:styleId="47">
    <w:name w:val="列出段落1"/>
    <w:basedOn w:val="1"/>
    <w:qFormat/>
    <w:uiPriority w:val="34"/>
    <w:pPr>
      <w:widowControl/>
      <w:ind w:firstLine="420" w:firstLineChars="200"/>
      <w:jc w:val="left"/>
    </w:pPr>
    <w:rPr>
      <w:rFonts w:ascii="宋体" w:hAnsi="宋体" w:cs="宋体"/>
      <w:kern w:val="0"/>
      <w:sz w:val="24"/>
      <w:szCs w:val="24"/>
    </w:rPr>
  </w:style>
  <w:style w:type="character" w:customStyle="1" w:styleId="48">
    <w:name w:val="纯文本 字符"/>
    <w:basedOn w:val="27"/>
    <w:semiHidden/>
    <w:qFormat/>
    <w:uiPriority w:val="99"/>
    <w:rPr>
      <w:rFonts w:hAnsi="Courier New" w:cs="Courier New" w:asciiTheme="minorEastAsia"/>
    </w:rPr>
  </w:style>
  <w:style w:type="character" w:customStyle="1" w:styleId="49">
    <w:name w:val="纯文本 字符1"/>
    <w:link w:val="14"/>
    <w:qFormat/>
    <w:uiPriority w:val="99"/>
    <w:rPr>
      <w:rFonts w:ascii="Times New Roman" w:hAnsi="Times New Roman" w:eastAsia="宋体" w:cs="Times New Roman"/>
      <w:kern w:val="0"/>
      <w:sz w:val="20"/>
      <w:szCs w:val="20"/>
      <w:lang w:val="zh-CN" w:eastAsia="en-US"/>
    </w:rPr>
  </w:style>
  <w:style w:type="character" w:customStyle="1" w:styleId="50">
    <w:name w:val="正文文本 字符1"/>
    <w:link w:val="11"/>
    <w:qFormat/>
    <w:uiPriority w:val="0"/>
    <w:rPr>
      <w:sz w:val="24"/>
    </w:rPr>
  </w:style>
  <w:style w:type="character" w:customStyle="1" w:styleId="51">
    <w:name w:val="正文文本 字符"/>
    <w:basedOn w:val="27"/>
    <w:semiHidden/>
    <w:qFormat/>
    <w:uiPriority w:val="99"/>
    <w:rPr>
      <w:rFonts w:ascii="Calibri" w:hAnsi="Calibri" w:eastAsia="宋体" w:cs="Times New Roman"/>
    </w:rPr>
  </w:style>
  <w:style w:type="paragraph" w:customStyle="1" w:styleId="52">
    <w:name w:val="修订1"/>
    <w:hidden/>
    <w:semiHidden/>
    <w:qFormat/>
    <w:uiPriority w:val="99"/>
    <w:rPr>
      <w:rFonts w:ascii="Calibri" w:hAnsi="Calibri" w:eastAsia="宋体" w:cs="Times New Roman"/>
      <w:kern w:val="2"/>
      <w:sz w:val="21"/>
      <w:szCs w:val="22"/>
      <w:lang w:val="en-US" w:eastAsia="zh-CN" w:bidi="ar-SA"/>
    </w:rPr>
  </w:style>
  <w:style w:type="paragraph" w:customStyle="1" w:styleId="53">
    <w:name w:val="列表段落1"/>
    <w:basedOn w:val="1"/>
    <w:qFormat/>
    <w:uiPriority w:val="34"/>
    <w:pPr>
      <w:ind w:firstLine="420"/>
    </w:pPr>
  </w:style>
  <w:style w:type="paragraph" w:customStyle="1" w:styleId="54">
    <w:name w:val="修订2"/>
    <w:hidden/>
    <w:qFormat/>
    <w:uiPriority w:val="99"/>
    <w:rPr>
      <w:rFonts w:ascii="Calibri" w:hAnsi="Calibri" w:eastAsia="宋体" w:cs="Times New Roman"/>
      <w:kern w:val="2"/>
      <w:sz w:val="21"/>
      <w:szCs w:val="22"/>
      <w:lang w:val="en-US" w:eastAsia="zh-CN" w:bidi="ar-SA"/>
    </w:rPr>
  </w:style>
  <w:style w:type="character" w:customStyle="1" w:styleId="55">
    <w:name w:val="标题 6 字符"/>
    <w:basedOn w:val="27"/>
    <w:link w:val="7"/>
    <w:qFormat/>
    <w:uiPriority w:val="9"/>
    <w:rPr>
      <w:rFonts w:asciiTheme="majorHAnsi" w:hAnsiTheme="majorHAnsi" w:eastAsiaTheme="majorEastAsia" w:cstheme="majorBidi"/>
      <w:b/>
      <w:bCs/>
      <w:kern w:val="2"/>
      <w:sz w:val="24"/>
      <w:szCs w:val="24"/>
    </w:rPr>
  </w:style>
  <w:style w:type="character" w:customStyle="1" w:styleId="56">
    <w:name w:val="标题 7 字符"/>
    <w:basedOn w:val="27"/>
    <w:link w:val="8"/>
    <w:qFormat/>
    <w:uiPriority w:val="9"/>
    <w:rPr>
      <w:rFonts w:ascii="Calibri" w:hAnsi="Calibri"/>
      <w:b/>
      <w:bCs/>
      <w:kern w:val="2"/>
      <w:sz w:val="24"/>
      <w:szCs w:val="24"/>
    </w:rPr>
  </w:style>
  <w:style w:type="paragraph" w:customStyle="1" w:styleId="57">
    <w:name w:val="修订3"/>
    <w:hidden/>
    <w:semiHidden/>
    <w:qFormat/>
    <w:uiPriority w:val="99"/>
    <w:rPr>
      <w:rFonts w:ascii="Calibri" w:hAnsi="Calibri" w:eastAsia="宋体" w:cs="Times New Roman"/>
      <w:kern w:val="2"/>
      <w:sz w:val="21"/>
      <w:szCs w:val="22"/>
      <w:lang w:val="en-US" w:eastAsia="zh-CN" w:bidi="ar-SA"/>
    </w:rPr>
  </w:style>
  <w:style w:type="paragraph" w:customStyle="1" w:styleId="58">
    <w:name w:val="修订4"/>
    <w:hidden/>
    <w:semiHidden/>
    <w:qFormat/>
    <w:uiPriority w:val="99"/>
    <w:rPr>
      <w:rFonts w:ascii="Calibri" w:hAnsi="Calibri" w:eastAsia="宋体" w:cs="Times New Roman"/>
      <w:kern w:val="2"/>
      <w:sz w:val="21"/>
      <w:szCs w:val="22"/>
      <w:lang w:val="en-US" w:eastAsia="zh-CN" w:bidi="ar-SA"/>
    </w:rPr>
  </w:style>
  <w:style w:type="paragraph" w:customStyle="1" w:styleId="59">
    <w:name w:val="修订5"/>
    <w:hidden/>
    <w:semiHidden/>
    <w:qFormat/>
    <w:uiPriority w:val="99"/>
    <w:rPr>
      <w:rFonts w:ascii="Calibri" w:hAnsi="Calibri" w:eastAsia="宋体" w:cs="Times New Roman"/>
      <w:kern w:val="2"/>
      <w:sz w:val="21"/>
      <w:szCs w:val="22"/>
      <w:lang w:val="en-US" w:eastAsia="zh-CN" w:bidi="ar-SA"/>
    </w:rPr>
  </w:style>
  <w:style w:type="character" w:customStyle="1" w:styleId="60">
    <w:name w:val="正文文本缩进 2 字符"/>
    <w:basedOn w:val="27"/>
    <w:link w:val="16"/>
    <w:qFormat/>
    <w:uiPriority w:val="0"/>
    <w:rPr>
      <w:rFonts w:ascii="仿宋_GB2312" w:hAnsi="宋体" w:cs="Arial"/>
      <w:b/>
      <w:bCs/>
      <w:color w:val="000000"/>
      <w:kern w:val="2"/>
      <w:sz w:val="24"/>
      <w:szCs w:val="24"/>
    </w:rPr>
  </w:style>
  <w:style w:type="paragraph" w:customStyle="1" w:styleId="61">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 w:type="character" w:customStyle="1" w:styleId="63">
    <w:name w:val="正文文本缩进 字符"/>
    <w:basedOn w:val="27"/>
    <w:link w:val="12"/>
    <w:qFormat/>
    <w:uiPriority w:val="99"/>
    <w:rPr>
      <w:rFonts w:ascii="Calibri" w:hAnsi="Calibri"/>
      <w:kern w:val="2"/>
      <w:sz w:val="24"/>
      <w:szCs w:val="22"/>
    </w:rPr>
  </w:style>
  <w:style w:type="character" w:customStyle="1" w:styleId="64">
    <w:name w:val="日期 字符"/>
    <w:basedOn w:val="27"/>
    <w:link w:val="15"/>
    <w:qFormat/>
    <w:uiPriority w:val="99"/>
    <w:rPr>
      <w:rFonts w:ascii="Calibri" w:hAnsi="Calibri"/>
      <w:kern w:val="2"/>
      <w:sz w:val="21"/>
      <w:szCs w:val="22"/>
    </w:rPr>
  </w:style>
  <w:style w:type="paragraph" w:customStyle="1" w:styleId="65">
    <w:name w:val="正文首行缩进 21"/>
    <w:basedOn w:val="66"/>
    <w:qFormat/>
    <w:uiPriority w:val="0"/>
    <w:pPr>
      <w:snapToGrid w:val="0"/>
      <w:spacing w:after="120"/>
      <w:ind w:left="420" w:leftChars="200" w:firstLine="420" w:firstLineChars="200"/>
    </w:pPr>
    <w:rPr>
      <w:rFonts w:hAnsi="宋体" w:eastAsia="仿宋_GB2312"/>
      <w:bCs/>
      <w:strike/>
      <w:color w:val="000000"/>
      <w:spacing w:val="20"/>
      <w:szCs w:val="24"/>
    </w:rPr>
  </w:style>
  <w:style w:type="paragraph" w:customStyle="1" w:styleId="66">
    <w:name w:val="Body Text Indent1"/>
    <w:basedOn w:val="1"/>
    <w:qFormat/>
    <w:uiPriority w:val="0"/>
    <w:pPr>
      <w:spacing w:after="80"/>
      <w:ind w:left="1695"/>
    </w:pPr>
  </w:style>
  <w:style w:type="paragraph" w:customStyle="1" w:styleId="67">
    <w:name w:val="TOC 标题1"/>
    <w:basedOn w:val="2"/>
    <w:next w:val="1"/>
    <w:semiHidden/>
    <w:qFormat/>
    <w:uiPriority w:val="99"/>
    <w:pPr>
      <w:widowControl/>
      <w:spacing w:before="480" w:after="0" w:line="276" w:lineRule="auto"/>
      <w:jc w:val="left"/>
      <w:outlineLvl w:val="9"/>
    </w:pPr>
    <w:rPr>
      <w:rFonts w:ascii="Cambria" w:hAnsi="Cambria"/>
      <w:color w:val="365F91"/>
      <w:kern w:val="0"/>
      <w:sz w:val="28"/>
      <w:szCs w:val="28"/>
      <w:lang w:val="en-US"/>
    </w:rPr>
  </w:style>
  <w:style w:type="paragraph" w:customStyle="1" w:styleId="68">
    <w:name w:val="样式 样式 正文缩进 + 首行缩进:  2 字符 + 首行缩进:  2 字符2"/>
    <w:basedOn w:val="1"/>
    <w:link w:val="69"/>
    <w:qFormat/>
    <w:uiPriority w:val="99"/>
    <w:pPr>
      <w:snapToGrid w:val="0"/>
      <w:spacing w:line="480" w:lineRule="atLeast"/>
      <w:ind w:firstLine="200" w:firstLineChars="200"/>
    </w:pPr>
    <w:rPr>
      <w:rFonts w:ascii="Times New Roman" w:hAnsi="Times New Roman" w:cs="宋体"/>
      <w:sz w:val="28"/>
      <w:szCs w:val="20"/>
    </w:rPr>
  </w:style>
  <w:style w:type="character" w:customStyle="1" w:styleId="69">
    <w:name w:val="样式 样式 正文缩进 + 首行缩进:  2 字符 + 首行缩进:  2 字符2 Char"/>
    <w:link w:val="68"/>
    <w:qFormat/>
    <w:locked/>
    <w:uiPriority w:val="99"/>
    <w:rPr>
      <w:rFonts w:cs="宋体"/>
      <w:kern w:val="2"/>
      <w:sz w:val="28"/>
    </w:rPr>
  </w:style>
  <w:style w:type="paragraph" w:customStyle="1" w:styleId="70">
    <w:name w:val="样式 样式 正文缩进 + 首行缩进:  2 字符 + 首行缩进:  2 字符3"/>
    <w:basedOn w:val="1"/>
    <w:qFormat/>
    <w:uiPriority w:val="99"/>
    <w:pPr>
      <w:snapToGrid w:val="0"/>
      <w:spacing w:line="480" w:lineRule="atLeast"/>
      <w:ind w:firstLine="200" w:firstLineChars="200"/>
    </w:pPr>
    <w:rPr>
      <w:rFonts w:ascii="Times New Roman" w:hAnsi="Times New Roman" w:cs="宋体"/>
      <w:sz w:val="28"/>
      <w:szCs w:val="20"/>
    </w:rPr>
  </w:style>
  <w:style w:type="character" w:customStyle="1" w:styleId="71">
    <w:name w:val="批注文字 字符1"/>
    <w:qFormat/>
    <w:uiPriority w:val="0"/>
    <w:rPr>
      <w:rFonts w:ascii="Times New Roman" w:hAnsi="Times New Roman"/>
      <w:szCs w:val="24"/>
    </w:rPr>
  </w:style>
  <w:style w:type="paragraph" w:customStyle="1" w:styleId="72">
    <w:name w:val="正文文本缩进 New"/>
    <w:basedOn w:val="73"/>
    <w:qFormat/>
    <w:uiPriority w:val="0"/>
    <w:pPr>
      <w:spacing w:line="360" w:lineRule="auto"/>
      <w:ind w:firstLine="480"/>
    </w:pPr>
    <w:rPr>
      <w:rFonts w:ascii="宋体"/>
      <w:color w:val="0000FF"/>
    </w:rPr>
  </w:style>
  <w:style w:type="paragraph" w:customStyle="1" w:styleId="73">
    <w:name w:val="正文 New New New New New New New New New New New New New New New New New New New New New"/>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74">
    <w:name w:val="标题 3 New New New New New New"/>
    <w:basedOn w:val="73"/>
    <w:next w:val="1"/>
    <w:qFormat/>
    <w:uiPriority w:val="0"/>
    <w:pPr>
      <w:keepNext/>
      <w:keepLines/>
      <w:spacing w:line="360" w:lineRule="auto"/>
      <w:outlineLvl w:val="2"/>
    </w:pPr>
    <w:rPr>
      <w:b/>
      <w:bCs/>
      <w:szCs w:val="32"/>
    </w:rPr>
  </w:style>
  <w:style w:type="paragraph" w:customStyle="1" w:styleId="75">
    <w:name w:val="标题 3 New New New New New"/>
    <w:basedOn w:val="76"/>
    <w:next w:val="1"/>
    <w:qFormat/>
    <w:uiPriority w:val="0"/>
    <w:pPr>
      <w:keepNext/>
      <w:keepLines/>
      <w:spacing w:line="360" w:lineRule="auto"/>
      <w:outlineLvl w:val="2"/>
    </w:pPr>
    <w:rPr>
      <w:b/>
      <w:bCs/>
      <w:szCs w:val="32"/>
    </w:rPr>
  </w:style>
  <w:style w:type="paragraph" w:customStyle="1" w:styleId="76">
    <w:name w:val="正文 New New New New New New New New New New New New New New New New New New New New"/>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77">
    <w:name w:val="标题 2 New New New New New New New New"/>
    <w:basedOn w:val="76"/>
    <w:next w:val="76"/>
    <w:qFormat/>
    <w:uiPriority w:val="0"/>
    <w:pPr>
      <w:keepNext/>
      <w:keepLines/>
      <w:spacing w:line="360" w:lineRule="auto"/>
      <w:jc w:val="both"/>
      <w:outlineLvl w:val="1"/>
    </w:pPr>
    <w:rPr>
      <w:rFonts w:ascii="宋体"/>
      <w:b/>
      <w:bCs/>
      <w:kern w:val="44"/>
      <w:szCs w:val="28"/>
    </w:rPr>
  </w:style>
  <w:style w:type="paragraph" w:customStyle="1" w:styleId="78">
    <w:name w:val="正文 New"/>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79">
    <w:name w:val="标题 1 New New"/>
    <w:basedOn w:val="76"/>
    <w:next w:val="76"/>
    <w:qFormat/>
    <w:uiPriority w:val="0"/>
    <w:pPr>
      <w:keepNext/>
      <w:keepLines/>
      <w:spacing w:line="360" w:lineRule="auto"/>
      <w:jc w:val="both"/>
      <w:outlineLvl w:val="0"/>
    </w:pPr>
    <w:rPr>
      <w:rFonts w:ascii="宋体"/>
      <w:b/>
      <w:bCs/>
      <w:kern w:val="44"/>
      <w:sz w:val="32"/>
      <w:szCs w:val="32"/>
    </w:rPr>
  </w:style>
  <w:style w:type="paragraph" w:customStyle="1" w:styleId="80">
    <w:name w:val="标题 2 New New New New New New New New New"/>
    <w:basedOn w:val="73"/>
    <w:next w:val="73"/>
    <w:qFormat/>
    <w:uiPriority w:val="0"/>
    <w:pPr>
      <w:keepNext/>
      <w:keepLines/>
      <w:spacing w:line="360" w:lineRule="auto"/>
      <w:jc w:val="both"/>
      <w:outlineLvl w:val="1"/>
    </w:pPr>
    <w:rPr>
      <w:rFonts w:ascii="宋体"/>
      <w:b/>
      <w:bCs/>
      <w:kern w:val="44"/>
      <w:szCs w:val="28"/>
    </w:rPr>
  </w:style>
  <w:style w:type="paragraph" w:customStyle="1" w:styleId="81">
    <w:name w:val="标题 1 New New New"/>
    <w:basedOn w:val="73"/>
    <w:next w:val="73"/>
    <w:qFormat/>
    <w:uiPriority w:val="0"/>
    <w:pPr>
      <w:keepNext/>
      <w:keepLines/>
      <w:spacing w:line="360" w:lineRule="auto"/>
      <w:jc w:val="both"/>
      <w:outlineLvl w:val="0"/>
    </w:pPr>
    <w:rPr>
      <w:rFonts w:ascii="宋体"/>
      <w:b/>
      <w:bCs/>
      <w:kern w:val="44"/>
      <w:sz w:val="32"/>
      <w:szCs w:val="32"/>
    </w:rPr>
  </w:style>
  <w:style w:type="paragraph" w:customStyle="1" w:styleId="82">
    <w:name w:val="正文文本 2 New"/>
    <w:basedOn w:val="73"/>
    <w:qFormat/>
    <w:uiPriority w:val="0"/>
    <w:pPr>
      <w:spacing w:line="360" w:lineRule="auto"/>
    </w:pPr>
    <w:rPr>
      <w:color w:val="00FFFF"/>
    </w:rPr>
  </w:style>
  <w:style w:type="paragraph" w:customStyle="1" w:styleId="83">
    <w:name w:val="_Style 2"/>
    <w:basedOn w:val="1"/>
    <w:qFormat/>
    <w:uiPriority w:val="0"/>
    <w:pPr>
      <w:spacing w:after="80"/>
      <w:ind w:firstLine="420" w:firstLineChars="200"/>
    </w:pPr>
    <w:rPr>
      <w:rFonts w:ascii="Times New Roman"/>
    </w:rPr>
  </w:style>
  <w:style w:type="paragraph" w:customStyle="1" w:styleId="84">
    <w:name w:val="列出段落11"/>
    <w:basedOn w:val="1"/>
    <w:qFormat/>
    <w:uiPriority w:val="0"/>
    <w:pPr>
      <w:spacing w:after="80"/>
      <w:ind w:firstLine="420" w:firstLineChars="200"/>
    </w:pPr>
  </w:style>
  <w:style w:type="paragraph" w:customStyle="1" w:styleId="8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修订6"/>
    <w:hidden/>
    <w:unhideWhenUsed/>
    <w:qFormat/>
    <w:uiPriority w:val="99"/>
    <w:rPr>
      <w:rFonts w:ascii="Calibri" w:hAnsi="Calibri" w:eastAsia="宋体" w:cs="Times New Roman"/>
      <w:kern w:val="2"/>
      <w:sz w:val="21"/>
      <w:szCs w:val="22"/>
      <w:lang w:val="en-US" w:eastAsia="zh-CN" w:bidi="ar-SA"/>
    </w:rPr>
  </w:style>
  <w:style w:type="character" w:customStyle="1" w:styleId="87">
    <w:name w:val="正文文本 3 字符"/>
    <w:basedOn w:val="27"/>
    <w:link w:val="10"/>
    <w:semiHidden/>
    <w:qFormat/>
    <w:uiPriority w:val="99"/>
    <w:rPr>
      <w:rFonts w:ascii="Calibri" w:hAnsi="Calibri"/>
      <w:kern w:val="2"/>
      <w:sz w:val="16"/>
      <w:szCs w:val="16"/>
    </w:rPr>
  </w:style>
  <w:style w:type="paragraph" w:customStyle="1" w:styleId="88">
    <w:name w:val="样式"/>
    <w:qFormat/>
    <w:uiPriority w:val="0"/>
    <w:pPr>
      <w:widowControl w:val="0"/>
      <w:autoSpaceDE w:val="0"/>
      <w:autoSpaceDN w:val="0"/>
      <w:adjustRightInd w:val="0"/>
    </w:pPr>
    <w:rPr>
      <w:rFonts w:ascii="宋体" w:hAnsi="宋体" w:eastAsia="宋体" w:cs="宋体"/>
      <w:sz w:val="24"/>
      <w:szCs w:val="24"/>
      <w:lang w:val="en-US" w:eastAsia="zh-CN" w:bidi="he-I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43</Pages>
  <Words>19311</Words>
  <Characters>20041</Characters>
  <DocSecurity>0</DocSecurity>
  <Lines>161</Lines>
  <Paragraphs>45</Paragraphs>
  <ScaleCrop>false</ScaleCrop>
  <LinksUpToDate>false</LinksUpToDate>
  <CharactersWithSpaces>20878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2021-02-08T19:14:00Z</cp:lastPrinted>
  <dcterms:created xsi:type="dcterms:W3CDTF">2023-07-21T06:52:00Z</dcterms:created>
  <dcterms:modified xsi:type="dcterms:W3CDTF">2023-08-02T10:18:52Z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E455353E670A40E087A847B7497C1CAC_13</vt:lpwstr>
  </property>
</Properties>
</file>