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仿宋" w:hAnsi="仿宋" w:eastAsia="仿宋"/>
          <w:b/>
          <w:bCs/>
          <w:sz w:val="44"/>
          <w:szCs w:val="44"/>
        </w:rPr>
      </w:pPr>
      <w:r>
        <w:rPr>
          <w:rFonts w:hint="eastAsia" w:ascii="仿宋" w:hAnsi="仿宋" w:eastAsia="仿宋"/>
          <w:b/>
          <w:bCs/>
          <w:sz w:val="44"/>
          <w:szCs w:val="44"/>
          <w:lang w:val="en-US" w:eastAsia="zh-CN"/>
        </w:rPr>
        <w:t>5:5</w:t>
      </w:r>
      <w:r>
        <w:rPr>
          <w:rFonts w:hint="eastAsia" w:ascii="仿宋" w:hAnsi="仿宋" w:eastAsia="仿宋"/>
          <w:b/>
          <w:bCs/>
          <w:sz w:val="44"/>
          <w:szCs w:val="44"/>
        </w:rPr>
        <w:t xml:space="preserve">宕 </w:t>
      </w:r>
      <w:r>
        <w:rPr>
          <w:rFonts w:hint="eastAsia" w:ascii="仿宋" w:hAnsi="仿宋" w:eastAsia="仿宋"/>
          <w:b/>
          <w:bCs/>
          <w:sz w:val="44"/>
          <w:szCs w:val="44"/>
          <w:lang w:eastAsia="zh-CN"/>
        </w:rPr>
        <w:t>碴</w:t>
      </w:r>
      <w:r>
        <w:rPr>
          <w:rFonts w:hint="eastAsia" w:ascii="仿宋" w:hAnsi="仿宋" w:eastAsia="仿宋"/>
          <w:b/>
          <w:bCs/>
          <w:sz w:val="44"/>
          <w:szCs w:val="44"/>
        </w:rPr>
        <w:t xml:space="preserve"> 销 售 合 同</w:t>
      </w:r>
    </w:p>
    <w:p>
      <w:pPr>
        <w:spacing w:line="276" w:lineRule="auto"/>
        <w:jc w:val="right"/>
        <w:rPr>
          <w:rFonts w:ascii="仿宋" w:hAnsi="仿宋" w:eastAsia="仿宋"/>
          <w:szCs w:val="21"/>
          <w:u w:val="single"/>
        </w:rPr>
      </w:pPr>
      <w:r>
        <w:rPr>
          <w:rFonts w:hint="eastAsia" w:ascii="仿宋" w:hAnsi="仿宋" w:eastAsia="仿宋"/>
          <w:szCs w:val="21"/>
        </w:rPr>
        <w:t xml:space="preserve">                            合同编号：</w:t>
      </w:r>
      <w:r>
        <w:rPr>
          <w:rFonts w:ascii="仿宋" w:hAnsi="仿宋" w:eastAsia="仿宋"/>
          <w:szCs w:val="21"/>
          <w:highlight w:val="none"/>
          <w:u w:val="single"/>
        </w:rPr>
        <w:t>NBZCDZJJ202</w:t>
      </w:r>
      <w:r>
        <w:rPr>
          <w:rFonts w:hint="eastAsia" w:ascii="仿宋" w:hAnsi="仿宋" w:eastAsia="仿宋"/>
          <w:szCs w:val="21"/>
          <w:highlight w:val="none"/>
          <w:u w:val="single"/>
          <w:lang w:val="en-US" w:eastAsia="zh-CN"/>
        </w:rPr>
        <w:t>3002</w:t>
      </w: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签订地点：</w:t>
      </w:r>
      <w:r>
        <w:rPr>
          <w:rFonts w:hint="eastAsia" w:ascii="仿宋" w:hAnsi="仿宋" w:eastAsia="仿宋"/>
          <w:szCs w:val="21"/>
          <w:u w:val="single"/>
        </w:rPr>
        <w:t>厦门市思明区</w:t>
      </w:r>
    </w:p>
    <w:p>
      <w:pPr>
        <w:spacing w:line="276" w:lineRule="auto"/>
        <w:jc w:val="right"/>
        <w:rPr>
          <w:rFonts w:ascii="仿宋" w:hAnsi="仿宋" w:eastAsia="仿宋"/>
          <w:szCs w:val="21"/>
        </w:rPr>
      </w:pPr>
      <w:r>
        <w:rPr>
          <w:rFonts w:hint="eastAsia" w:ascii="仿宋" w:hAnsi="仿宋" w:eastAsia="仿宋"/>
          <w:szCs w:val="21"/>
        </w:rPr>
        <w:t xml:space="preserve">         签约时间：</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u w:val="single"/>
        </w:rPr>
        <w:t xml:space="preserve"> </w:t>
      </w:r>
      <w:r>
        <w:rPr>
          <w:rFonts w:hint="eastAsia" w:ascii="仿宋" w:hAnsi="仿宋" w:eastAsia="仿宋"/>
          <w:szCs w:val="21"/>
        </w:rPr>
        <w:t>年</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rPr>
        <w:t>月</w:t>
      </w:r>
      <w:r>
        <w:rPr>
          <w:rFonts w:ascii="仿宋" w:hAnsi="仿宋" w:eastAsia="仿宋"/>
          <w:szCs w:val="21"/>
          <w:u w:val="single"/>
        </w:rPr>
        <w:t xml:space="preserve">    </w:t>
      </w:r>
      <w:r>
        <w:rPr>
          <w:rFonts w:hint="eastAsia" w:ascii="仿宋" w:hAnsi="仿宋" w:eastAsia="仿宋"/>
          <w:szCs w:val="21"/>
        </w:rPr>
        <w:t>日</w:t>
      </w:r>
    </w:p>
    <w:p>
      <w:pPr>
        <w:spacing w:line="360" w:lineRule="auto"/>
        <w:ind w:firstLine="482" w:firstLineChars="200"/>
        <w:jc w:val="left"/>
        <w:rPr>
          <w:rFonts w:ascii="仿宋" w:hAnsi="仿宋" w:eastAsia="仿宋"/>
          <w:b/>
          <w:bCs/>
          <w:sz w:val="24"/>
          <w:szCs w:val="24"/>
          <w:u w:val="single"/>
        </w:rPr>
      </w:pPr>
      <w:r>
        <w:rPr>
          <w:rFonts w:hint="eastAsia" w:ascii="仿宋" w:hAnsi="仿宋" w:eastAsia="仿宋"/>
          <w:b/>
          <w:bCs/>
          <w:sz w:val="24"/>
          <w:szCs w:val="24"/>
        </w:rPr>
        <w:t>甲方：宁波振诚矿业有限公司</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rPr>
        <w:t>乙方：</w:t>
      </w:r>
      <w:r>
        <w:rPr>
          <w:rFonts w:hint="eastAsia" w:ascii="仿宋" w:hAnsi="仿宋" w:eastAsia="仿宋"/>
          <w:b/>
          <w:bCs/>
          <w:sz w:val="24"/>
          <w:szCs w:val="24"/>
          <w:u w:val="single"/>
        </w:rPr>
        <w:t xml:space="preserve"> </w:t>
      </w:r>
      <w:r>
        <w:rPr>
          <w:rFonts w:ascii="仿宋" w:hAnsi="仿宋" w:eastAsia="仿宋"/>
          <w:b/>
          <w:bCs/>
          <w:sz w:val="24"/>
          <w:szCs w:val="24"/>
          <w:u w:val="single"/>
        </w:rPr>
        <w:t xml:space="preserve">    </w:t>
      </w:r>
      <w:r>
        <w:rPr>
          <w:rFonts w:hint="eastAsia" w:ascii="仿宋" w:hAnsi="仿宋" w:eastAsia="仿宋"/>
          <w:b/>
          <w:bCs/>
          <w:sz w:val="24"/>
          <w:szCs w:val="24"/>
          <w:u w:val="single"/>
        </w:rPr>
        <w:t xml:space="preserve"> ____________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甲乙双方根据</w:t>
      </w:r>
      <w:r>
        <w:rPr>
          <w:rFonts w:hint="eastAsia" w:ascii="仿宋" w:hAnsi="仿宋" w:eastAsia="仿宋"/>
          <w:sz w:val="24"/>
          <w:szCs w:val="24"/>
          <w:u w:val="single"/>
        </w:rPr>
        <w:t>编号为</w:t>
      </w:r>
      <w:r>
        <w:rPr>
          <w:rFonts w:ascii="仿宋" w:hAnsi="仿宋" w:eastAsia="仿宋"/>
          <w:sz w:val="24"/>
          <w:szCs w:val="24"/>
          <w:u w:val="single"/>
        </w:rPr>
        <w:t>NBZCDZJJ202</w:t>
      </w:r>
      <w:r>
        <w:rPr>
          <w:rFonts w:hint="eastAsia" w:ascii="仿宋" w:hAnsi="仿宋" w:eastAsia="仿宋"/>
          <w:sz w:val="24"/>
          <w:szCs w:val="24"/>
          <w:u w:val="single"/>
          <w:lang w:val="en-US" w:eastAsia="zh-CN"/>
        </w:rPr>
        <w:t>3002</w:t>
      </w:r>
      <w:r>
        <w:rPr>
          <w:rFonts w:hint="eastAsia" w:ascii="仿宋" w:hAnsi="仿宋" w:eastAsia="仿宋"/>
          <w:sz w:val="24"/>
          <w:szCs w:val="24"/>
          <w:u w:val="single"/>
        </w:rPr>
        <w:t>的《宁波振诚矿业有限公司穿鼻岛石料矿</w:t>
      </w:r>
      <w:r>
        <w:rPr>
          <w:rFonts w:hint="eastAsia" w:ascii="仿宋" w:hAnsi="仿宋" w:eastAsia="仿宋"/>
          <w:sz w:val="24"/>
          <w:szCs w:val="24"/>
          <w:u w:val="single"/>
          <w:lang w:eastAsia="zh-CN"/>
        </w:rPr>
        <w:t>5:5宕碴</w:t>
      </w:r>
      <w:r>
        <w:rPr>
          <w:rFonts w:hint="eastAsia" w:ascii="仿宋" w:hAnsi="仿宋" w:eastAsia="仿宋"/>
          <w:sz w:val="24"/>
          <w:szCs w:val="24"/>
          <w:u w:val="single"/>
        </w:rPr>
        <w:t>竞价项目》</w:t>
      </w:r>
      <w:r>
        <w:rPr>
          <w:rFonts w:hint="eastAsia" w:ascii="仿宋" w:hAnsi="仿宋" w:eastAsia="仿宋"/>
          <w:sz w:val="24"/>
          <w:szCs w:val="24"/>
        </w:rPr>
        <w:t>竞价结果，依据《中华人民共和国民法典》等相关法律法规，依照公平自愿原则，经充分并逐条友好协商一致，就甲方向乙方销售</w:t>
      </w:r>
      <w:r>
        <w:rPr>
          <w:rFonts w:hint="eastAsia" w:ascii="仿宋" w:hAnsi="仿宋" w:eastAsia="仿宋"/>
          <w:sz w:val="24"/>
          <w:szCs w:val="24"/>
          <w:u w:val="single"/>
          <w:lang w:eastAsia="zh-CN"/>
        </w:rPr>
        <w:t>5:5宕碴</w:t>
      </w:r>
      <w:r>
        <w:rPr>
          <w:rFonts w:hint="eastAsia" w:ascii="仿宋" w:hAnsi="仿宋" w:eastAsia="仿宋"/>
          <w:sz w:val="24"/>
          <w:szCs w:val="24"/>
          <w:u w:val="single"/>
        </w:rPr>
        <w:t>_</w:t>
      </w:r>
      <w:r>
        <w:rPr>
          <w:rFonts w:hint="eastAsia" w:ascii="仿宋" w:hAnsi="仿宋" w:eastAsia="仿宋"/>
          <w:sz w:val="24"/>
          <w:szCs w:val="24"/>
        </w:rPr>
        <w:t>（货物）等有关事宜，达成协议如下：</w:t>
      </w:r>
    </w:p>
    <w:p>
      <w:pPr>
        <w:pStyle w:val="19"/>
        <w:spacing w:line="380" w:lineRule="exact"/>
        <w:ind w:firstLine="482"/>
        <w:jc w:val="left"/>
        <w:rPr>
          <w:rFonts w:ascii="仿宋" w:hAnsi="仿宋" w:eastAsia="仿宋"/>
          <w:b/>
          <w:sz w:val="24"/>
        </w:rPr>
      </w:pPr>
      <w:r>
        <w:rPr>
          <w:rFonts w:hint="eastAsia" w:ascii="仿宋" w:hAnsi="仿宋" w:eastAsia="仿宋"/>
          <w:b/>
          <w:sz w:val="24"/>
        </w:rPr>
        <w:t>一、</w:t>
      </w:r>
      <w:r>
        <w:rPr>
          <w:rFonts w:hint="eastAsia" w:ascii="仿宋" w:hAnsi="仿宋" w:eastAsia="仿宋"/>
          <w:b/>
          <w:bCs/>
          <w:sz w:val="24"/>
        </w:rPr>
        <w:t>货物</w:t>
      </w:r>
      <w:r>
        <w:rPr>
          <w:rFonts w:hint="eastAsia" w:ascii="仿宋" w:hAnsi="仿宋" w:eastAsia="仿宋"/>
          <w:b/>
          <w:sz w:val="24"/>
        </w:rPr>
        <w:t>品名、数量</w:t>
      </w:r>
      <w:r>
        <w:rPr>
          <w:rFonts w:hint="eastAsia" w:ascii="仿宋" w:hAnsi="仿宋" w:eastAsia="仿宋"/>
          <w:b/>
          <w:bCs/>
          <w:sz w:val="24"/>
        </w:rPr>
        <w:t>、价</w:t>
      </w:r>
      <w:r>
        <w:rPr>
          <w:rFonts w:hint="eastAsia" w:ascii="仿宋" w:hAnsi="仿宋" w:eastAsia="仿宋"/>
          <w:b/>
          <w:sz w:val="24"/>
        </w:rPr>
        <w:t>格</w:t>
      </w:r>
      <w:r>
        <w:rPr>
          <w:rFonts w:hint="eastAsia" w:ascii="仿宋" w:hAnsi="仿宋" w:eastAsia="仿宋"/>
          <w:b/>
          <w:bCs/>
          <w:sz w:val="24"/>
        </w:rPr>
        <w:t>及总金额</w:t>
      </w:r>
      <w:r>
        <w:rPr>
          <w:rFonts w:hint="eastAsia" w:ascii="仿宋" w:hAnsi="仿宋" w:eastAsia="仿宋"/>
          <w:b/>
          <w:sz w:val="24"/>
        </w:rPr>
        <w:t>：</w:t>
      </w:r>
    </w:p>
    <w:tbl>
      <w:tblPr>
        <w:tblStyle w:val="9"/>
        <w:tblW w:w="487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597"/>
        <w:gridCol w:w="2038"/>
        <w:gridCol w:w="2624"/>
        <w:gridCol w:w="20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2"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pStyle w:val="19"/>
              <w:spacing w:line="380" w:lineRule="exact"/>
              <w:ind w:firstLine="0" w:firstLineChars="0"/>
              <w:jc w:val="left"/>
              <w:rPr>
                <w:rFonts w:ascii="宋体" w:hAnsi="宋体"/>
                <w:szCs w:val="21"/>
              </w:rPr>
            </w:pPr>
            <w:r>
              <w:rPr>
                <w:rFonts w:hint="eastAsia" w:ascii="宋体" w:hAnsi="宋体"/>
                <w:szCs w:val="21"/>
              </w:rPr>
              <w:t>货物品名</w:t>
            </w:r>
          </w:p>
        </w:tc>
        <w:tc>
          <w:tcPr>
            <w:tcW w:w="1228" w:type="pct"/>
            <w:tcBorders>
              <w:top w:val="single" w:color="000000" w:sz="8" w:space="0"/>
              <w:left w:val="single" w:color="000000" w:sz="8" w:space="0"/>
              <w:bottom w:val="single" w:color="000000" w:sz="8" w:space="0"/>
              <w:right w:val="single" w:color="000000" w:sz="8" w:space="0"/>
            </w:tcBorders>
            <w:vAlign w:val="center"/>
          </w:tcPr>
          <w:p>
            <w:pPr>
              <w:pStyle w:val="19"/>
              <w:spacing w:line="380" w:lineRule="exact"/>
              <w:ind w:firstLine="0" w:firstLineChars="0"/>
              <w:jc w:val="left"/>
              <w:rPr>
                <w:rFonts w:ascii="宋体" w:hAnsi="宋体"/>
                <w:szCs w:val="21"/>
              </w:rPr>
            </w:pPr>
            <w:r>
              <w:rPr>
                <w:rFonts w:hint="eastAsia" w:ascii="宋体" w:hAnsi="宋体"/>
                <w:szCs w:val="21"/>
              </w:rPr>
              <w:t>暂定数量（万吨）</w:t>
            </w:r>
          </w:p>
        </w:tc>
        <w:tc>
          <w:tcPr>
            <w:tcW w:w="1581" w:type="pct"/>
            <w:tcBorders>
              <w:top w:val="single" w:color="000000" w:sz="8" w:space="0"/>
              <w:left w:val="single" w:color="000000" w:sz="8" w:space="0"/>
              <w:bottom w:val="single" w:color="000000" w:sz="8" w:space="0"/>
              <w:right w:val="single" w:color="000000" w:sz="8" w:space="0"/>
            </w:tcBorders>
          </w:tcPr>
          <w:p>
            <w:pPr>
              <w:spacing w:line="360" w:lineRule="auto"/>
              <w:jc w:val="left"/>
              <w:rPr>
                <w:rFonts w:ascii="宋体" w:hAnsi="宋体" w:cs="宋体"/>
                <w:color w:val="000000"/>
                <w:kern w:val="0"/>
                <w:szCs w:val="21"/>
              </w:rPr>
            </w:pPr>
            <w:r>
              <w:rPr>
                <w:rFonts w:hint="eastAsia" w:ascii="宋体" w:hAnsi="宋体" w:cs="宋体"/>
                <w:color w:val="000000"/>
                <w:kern w:val="0"/>
                <w:szCs w:val="21"/>
              </w:rPr>
              <w:t>含1</w:t>
            </w:r>
            <w:r>
              <w:rPr>
                <w:rFonts w:ascii="宋体" w:hAnsi="宋体" w:cs="宋体"/>
                <w:color w:val="000000"/>
                <w:kern w:val="0"/>
                <w:szCs w:val="21"/>
              </w:rPr>
              <w:t>3</w:t>
            </w:r>
            <w:r>
              <w:rPr>
                <w:rFonts w:hint="eastAsia" w:ascii="宋体" w:hAnsi="宋体" w:cs="宋体"/>
                <w:color w:val="000000"/>
                <w:kern w:val="0"/>
                <w:szCs w:val="21"/>
              </w:rPr>
              <w:t>%税单价（元/吨）</w:t>
            </w:r>
          </w:p>
        </w:tc>
        <w:tc>
          <w:tcPr>
            <w:tcW w:w="1229" w:type="pct"/>
            <w:tcBorders>
              <w:top w:val="single" w:color="000000" w:sz="8" w:space="0"/>
              <w:left w:val="single" w:color="000000" w:sz="8" w:space="0"/>
              <w:bottom w:val="single" w:color="000000" w:sz="8" w:space="0"/>
              <w:right w:val="single" w:color="000000" w:sz="8" w:space="0"/>
            </w:tcBorders>
          </w:tcPr>
          <w:p>
            <w:pPr>
              <w:spacing w:line="360" w:lineRule="auto"/>
              <w:jc w:val="left"/>
              <w:rPr>
                <w:rFonts w:ascii="宋体" w:hAnsi="宋体" w:cs="宋体"/>
                <w:color w:val="000000"/>
                <w:kern w:val="0"/>
                <w:szCs w:val="21"/>
              </w:rPr>
            </w:pPr>
            <w:r>
              <w:rPr>
                <w:rFonts w:hint="eastAsia" w:ascii="宋体" w:hAnsi="宋体" w:cs="宋体"/>
                <w:color w:val="000000"/>
                <w:kern w:val="0"/>
                <w:szCs w:val="21"/>
              </w:rPr>
              <w:t>暂定含税总价（元）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8"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left"/>
              <w:rPr>
                <w:rFonts w:ascii="宋体" w:hAnsi="宋体"/>
                <w:szCs w:val="21"/>
              </w:rPr>
            </w:pPr>
          </w:p>
        </w:tc>
        <w:tc>
          <w:tcPr>
            <w:tcW w:w="1228"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center"/>
              <w:rPr>
                <w:rFonts w:ascii="宋体" w:hAnsi="宋体" w:cs="Courier New"/>
                <w:b/>
                <w:szCs w:val="21"/>
              </w:rPr>
            </w:pPr>
          </w:p>
        </w:tc>
        <w:tc>
          <w:tcPr>
            <w:tcW w:w="1581"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c>
          <w:tcPr>
            <w:tcW w:w="1229"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8"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left"/>
              <w:rPr>
                <w:rFonts w:ascii="宋体" w:hAnsi="宋体"/>
                <w:szCs w:val="21"/>
              </w:rPr>
            </w:pPr>
          </w:p>
        </w:tc>
        <w:tc>
          <w:tcPr>
            <w:tcW w:w="1228"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center"/>
              <w:rPr>
                <w:rFonts w:ascii="宋体" w:hAnsi="宋体" w:cs="Courier New"/>
                <w:b/>
                <w:szCs w:val="21"/>
              </w:rPr>
            </w:pPr>
          </w:p>
        </w:tc>
        <w:tc>
          <w:tcPr>
            <w:tcW w:w="1581"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c>
          <w:tcPr>
            <w:tcW w:w="1229"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hint="eastAsia" w:ascii="宋体" w:hAnsi="宋体"/>
                <w:b/>
                <w:szCs w:val="21"/>
              </w:rPr>
            </w:pPr>
          </w:p>
          <w:p>
            <w:pPr>
              <w:spacing w:line="380" w:lineRule="exact"/>
              <w:ind w:firstLine="200"/>
              <w:jc w:val="center"/>
              <w:rPr>
                <w:rFonts w:ascii="宋体" w:hAnsi="宋体"/>
                <w:b/>
                <w:szCs w:val="21"/>
              </w:rPr>
            </w:pPr>
            <w:bookmarkStart w:id="5" w:name="_GoBack"/>
            <w:bookmarkEnd w:id="5"/>
            <w:r>
              <w:rPr>
                <w:rFonts w:hint="eastAsia" w:ascii="宋体" w:hAnsi="宋体"/>
                <w:b/>
                <w:szCs w:val="21"/>
              </w:rPr>
              <w:t>大写：</w:t>
            </w:r>
          </w:p>
        </w:tc>
      </w:tr>
    </w:tbl>
    <w:p>
      <w:pPr>
        <w:adjustRightInd w:val="0"/>
        <w:snapToGrid w:val="0"/>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rPr>
        <w:t>计划售卖数量仅为暂定数量，甲方会由于工程需要导致提供数量发生变化，最终数量以甲方实际提供并出运为准。在合同执行期内单价不作调整，乙方需充分考虑</w:t>
      </w:r>
      <w:r>
        <w:rPr>
          <w:rFonts w:hint="eastAsia" w:ascii="仿宋" w:hAnsi="仿宋" w:eastAsia="仿宋"/>
          <w:b/>
          <w:bCs/>
          <w:sz w:val="24"/>
          <w:szCs w:val="24"/>
          <w:lang w:eastAsia="zh-CN"/>
        </w:rPr>
        <w:t>5:5宕碴</w:t>
      </w:r>
      <w:r>
        <w:rPr>
          <w:rFonts w:hint="eastAsia" w:ascii="仿宋" w:hAnsi="仿宋" w:eastAsia="仿宋"/>
          <w:b/>
          <w:bCs/>
          <w:sz w:val="24"/>
          <w:szCs w:val="24"/>
        </w:rPr>
        <w:t>受供应时间影响产生的市场价格浮动，价格风险由乙方承担。</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二、货物暂定质量</w:t>
      </w:r>
    </w:p>
    <w:p>
      <w:pPr>
        <w:spacing w:line="360"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甲方提供约为5：5的由风化层、强风化层、山皮土组成的</w:t>
      </w:r>
      <w:r>
        <w:rPr>
          <w:rFonts w:hint="eastAsia" w:ascii="仿宋" w:hAnsi="仿宋" w:eastAsia="仿宋" w:cs="仿宋"/>
          <w:b/>
          <w:bCs/>
          <w:sz w:val="24"/>
          <w:szCs w:val="24"/>
          <w:lang w:eastAsia="zh-CN"/>
        </w:rPr>
        <w:t>5:5宕碴</w:t>
      </w:r>
      <w:r>
        <w:rPr>
          <w:rFonts w:hint="eastAsia" w:ascii="仿宋" w:hAnsi="仿宋" w:eastAsia="仿宋" w:cs="仿宋"/>
          <w:b/>
          <w:bCs/>
          <w:sz w:val="24"/>
          <w:szCs w:val="24"/>
        </w:rPr>
        <w:t>。</w:t>
      </w:r>
    </w:p>
    <w:p>
      <w:pPr>
        <w:spacing w:line="360"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因</w:t>
      </w:r>
      <w:bookmarkStart w:id="0" w:name="_Hlk120713555"/>
      <w:r>
        <w:rPr>
          <w:rFonts w:hint="eastAsia" w:ascii="仿宋" w:hAnsi="仿宋" w:eastAsia="仿宋" w:cs="仿宋"/>
          <w:b/>
          <w:bCs/>
          <w:sz w:val="24"/>
          <w:szCs w:val="24"/>
        </w:rPr>
        <w:t>爆破、开采、混装</w:t>
      </w:r>
      <w:bookmarkEnd w:id="0"/>
      <w:r>
        <w:rPr>
          <w:rFonts w:hint="eastAsia" w:ascii="仿宋" w:hAnsi="仿宋" w:eastAsia="仿宋" w:cs="仿宋"/>
          <w:b/>
          <w:bCs/>
          <w:sz w:val="24"/>
          <w:szCs w:val="24"/>
        </w:rPr>
        <w:t>等多方因素影响，货物质量具体以装货的实际情况为准，甲方无法保证标的质量，不承担质量差异及瑕疵（包括隐形瑕疵）风险，未知的质量风险由乙方自己承担，且标的物品质差异不影响货物单价成交价。乙方一旦作出竞买决定，即表明已完全理解并同意，不得以任何理由主张质量不符或瑕疵的降价或补偿等。</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三、合同履约的保证金：</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1.乙方需在合同签订之日起</w:t>
      </w:r>
      <w:bookmarkStart w:id="1" w:name="_Hlk120777838"/>
      <w:r>
        <w:rPr>
          <w:rFonts w:hint="eastAsia" w:ascii="仿宋" w:hAnsi="仿宋" w:eastAsia="仿宋" w:cs="仿宋"/>
          <w:sz w:val="24"/>
          <w:szCs w:val="24"/>
        </w:rPr>
        <w:t>3个工作日内</w:t>
      </w:r>
      <w:bookmarkEnd w:id="1"/>
      <w:r>
        <w:rPr>
          <w:rFonts w:hint="eastAsia" w:ascii="仿宋" w:hAnsi="仿宋" w:eastAsia="仿宋" w:cs="仿宋"/>
          <w:sz w:val="24"/>
          <w:szCs w:val="24"/>
        </w:rPr>
        <w:t>支</w:t>
      </w:r>
      <w:r>
        <w:rPr>
          <w:rFonts w:hint="eastAsia" w:ascii="仿宋" w:hAnsi="仿宋" w:eastAsia="仿宋" w:cs="仿宋"/>
          <w:sz w:val="24"/>
          <w:szCs w:val="24"/>
          <w:highlight w:val="none"/>
        </w:rPr>
        <w:t>付</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rPr>
        <w:t>万</w:t>
      </w:r>
      <w:r>
        <w:rPr>
          <w:rFonts w:hint="eastAsia" w:ascii="仿宋" w:hAnsi="仿宋" w:eastAsia="仿宋" w:cs="仿宋"/>
          <w:sz w:val="24"/>
          <w:szCs w:val="24"/>
        </w:rPr>
        <w:t>元</w:t>
      </w:r>
      <w:bookmarkStart w:id="2" w:name="_Hlk120777855"/>
      <w:r>
        <w:rPr>
          <w:rFonts w:hint="eastAsia" w:ascii="仿宋" w:hAnsi="仿宋" w:eastAsia="仿宋" w:cs="仿宋"/>
          <w:sz w:val="24"/>
          <w:szCs w:val="24"/>
        </w:rPr>
        <w:t>现金作为</w:t>
      </w:r>
      <w:bookmarkEnd w:id="2"/>
      <w:r>
        <w:rPr>
          <w:rFonts w:hint="eastAsia" w:ascii="仿宋" w:hAnsi="仿宋" w:eastAsia="仿宋" w:cs="仿宋"/>
          <w:sz w:val="24"/>
          <w:szCs w:val="24"/>
        </w:rPr>
        <w:t>履约保证金</w:t>
      </w:r>
      <w:r>
        <w:rPr>
          <w:rFonts w:hint="eastAsia" w:ascii="仿宋" w:hAnsi="仿宋" w:eastAsia="仿宋"/>
          <w:sz w:val="24"/>
          <w:szCs w:val="24"/>
        </w:rPr>
        <w:t>，保证金可冲抵最后一笔货款。乙方保证在双方终止合同前始终保持履约保证金不低于</w:t>
      </w:r>
      <w:r>
        <w:rPr>
          <w:rFonts w:hint="eastAsia" w:ascii="仿宋" w:hAnsi="仿宋" w:eastAsia="仿宋" w:cs="仿宋"/>
          <w:sz w:val="24"/>
          <w:szCs w:val="24"/>
          <w:highlight w:val="none"/>
          <w:u w:val="single"/>
          <w:lang w:val="en-US" w:eastAsia="zh-CN"/>
        </w:rPr>
        <w:t>5</w:t>
      </w:r>
      <w:r>
        <w:rPr>
          <w:rFonts w:hint="eastAsia" w:ascii="仿宋" w:hAnsi="仿宋" w:eastAsia="仿宋"/>
          <w:sz w:val="24"/>
          <w:szCs w:val="24"/>
          <w:highlight w:val="none"/>
        </w:rPr>
        <w:t>万元</w:t>
      </w:r>
      <w:r>
        <w:rPr>
          <w:rFonts w:hint="eastAsia" w:ascii="仿宋" w:hAnsi="仿宋" w:eastAsia="仿宋"/>
          <w:sz w:val="24"/>
          <w:szCs w:val="24"/>
        </w:rPr>
        <w:t>，一旦发生保证金被抵扣或被没收等情况时，乙方应在三个工作日内补足。乙方未及时足额支付或补足的，应按本合同约定承担违约责任。</w:t>
      </w:r>
    </w:p>
    <w:p>
      <w:pPr>
        <w:pStyle w:val="2"/>
        <w:spacing w:after="0" w:line="360" w:lineRule="auto"/>
        <w:ind w:left="0" w:leftChars="0" w:firstLine="480"/>
        <w:jc w:val="left"/>
        <w:rPr>
          <w:rFonts w:ascii="仿宋" w:hAnsi="仿宋" w:eastAsia="仿宋" w:cs="仿宋"/>
          <w:sz w:val="24"/>
          <w:szCs w:val="24"/>
        </w:rPr>
      </w:pPr>
      <w:r>
        <w:rPr>
          <w:rFonts w:hint="eastAsia" w:ascii="仿宋" w:hAnsi="仿宋" w:eastAsia="仿宋" w:cs="仿宋"/>
          <w:sz w:val="24"/>
          <w:szCs w:val="24"/>
        </w:rPr>
        <w:t>2.双方履行合同完毕，甲方在30日内无息退回剩余履约保证金。</w:t>
      </w:r>
    </w:p>
    <w:p>
      <w:pPr>
        <w:pStyle w:val="5"/>
        <w:ind w:firstLine="482"/>
        <w:jc w:val="left"/>
        <w:rPr>
          <w:rFonts w:ascii="仿宋" w:hAnsi="仿宋" w:eastAsia="仿宋"/>
          <w:b/>
          <w:sz w:val="24"/>
          <w:szCs w:val="24"/>
        </w:rPr>
      </w:pPr>
      <w:r>
        <w:rPr>
          <w:rFonts w:hint="eastAsia" w:ascii="仿宋" w:hAnsi="仿宋" w:eastAsia="仿宋"/>
          <w:b/>
          <w:sz w:val="24"/>
          <w:szCs w:val="24"/>
        </w:rPr>
        <w:t>四、交货</w:t>
      </w:r>
    </w:p>
    <w:p>
      <w:pPr>
        <w:pStyle w:val="22"/>
        <w:spacing w:line="360" w:lineRule="auto"/>
        <w:ind w:firstLine="480" w:firstLineChars="200"/>
        <w:rPr>
          <w:rFonts w:ascii="仿宋" w:hAnsi="仿宋" w:eastAsia="仿宋" w:cs="仿宋"/>
          <w:kern w:val="2"/>
          <w:sz w:val="24"/>
        </w:rPr>
      </w:pPr>
      <w:r>
        <w:rPr>
          <w:rFonts w:hint="eastAsia" w:ascii="仿宋" w:hAnsi="仿宋" w:eastAsia="仿宋" w:cs="仿宋"/>
          <w:kern w:val="2"/>
          <w:sz w:val="24"/>
        </w:rPr>
        <w:t>1</w:t>
      </w:r>
      <w:r>
        <w:rPr>
          <w:rFonts w:ascii="仿宋" w:hAnsi="仿宋" w:eastAsia="仿宋" w:cs="仿宋"/>
          <w:kern w:val="2"/>
          <w:sz w:val="24"/>
        </w:rPr>
        <w:t>.</w:t>
      </w:r>
      <w:r>
        <w:rPr>
          <w:rFonts w:hint="eastAsia" w:ascii="仿宋" w:hAnsi="仿宋" w:eastAsia="仿宋" w:cs="仿宋"/>
          <w:kern w:val="2"/>
          <w:sz w:val="24"/>
        </w:rPr>
        <w:t>暂定交货时间：</w:t>
      </w:r>
      <w:r>
        <w:rPr>
          <w:rFonts w:ascii="仿宋" w:hAnsi="仿宋" w:eastAsia="仿宋" w:cs="仿宋"/>
          <w:kern w:val="2"/>
          <w:sz w:val="24"/>
        </w:rPr>
        <w:t>20XX</w:t>
      </w:r>
      <w:r>
        <w:rPr>
          <w:rFonts w:hint="eastAsia" w:ascii="仿宋" w:hAnsi="仿宋" w:eastAsia="仿宋" w:cs="仿宋"/>
          <w:kern w:val="2"/>
          <w:sz w:val="24"/>
        </w:rPr>
        <w:t>年X</w:t>
      </w:r>
      <w:r>
        <w:rPr>
          <w:rFonts w:ascii="仿宋" w:hAnsi="仿宋" w:eastAsia="仿宋" w:cs="仿宋"/>
          <w:kern w:val="2"/>
          <w:sz w:val="24"/>
        </w:rPr>
        <w:t>X</w:t>
      </w:r>
      <w:r>
        <w:rPr>
          <w:rFonts w:hint="eastAsia" w:ascii="仿宋" w:hAnsi="仿宋" w:eastAsia="仿宋" w:cs="仿宋"/>
          <w:kern w:val="2"/>
          <w:sz w:val="24"/>
        </w:rPr>
        <w:t>月X</w:t>
      </w:r>
      <w:r>
        <w:rPr>
          <w:rFonts w:ascii="仿宋" w:hAnsi="仿宋" w:eastAsia="仿宋" w:cs="仿宋"/>
          <w:kern w:val="2"/>
          <w:sz w:val="24"/>
        </w:rPr>
        <w:t>X</w:t>
      </w:r>
      <w:r>
        <w:rPr>
          <w:rFonts w:hint="eastAsia" w:ascii="仿宋" w:hAnsi="仿宋" w:eastAsia="仿宋" w:cs="仿宋"/>
          <w:kern w:val="2"/>
          <w:sz w:val="24"/>
        </w:rPr>
        <w:t>日至</w:t>
      </w:r>
      <w:r>
        <w:rPr>
          <w:rFonts w:ascii="仿宋" w:hAnsi="仿宋" w:eastAsia="仿宋" w:cs="仿宋"/>
          <w:kern w:val="2"/>
          <w:sz w:val="24"/>
        </w:rPr>
        <w:t>20XX</w:t>
      </w:r>
      <w:r>
        <w:rPr>
          <w:rFonts w:hint="eastAsia" w:ascii="仿宋" w:hAnsi="仿宋" w:eastAsia="仿宋" w:cs="仿宋"/>
          <w:kern w:val="2"/>
          <w:sz w:val="24"/>
        </w:rPr>
        <w:t>年X</w:t>
      </w:r>
      <w:r>
        <w:rPr>
          <w:rFonts w:ascii="仿宋" w:hAnsi="仿宋" w:eastAsia="仿宋" w:cs="仿宋"/>
          <w:kern w:val="2"/>
          <w:sz w:val="24"/>
        </w:rPr>
        <w:t>X</w:t>
      </w:r>
      <w:r>
        <w:rPr>
          <w:rFonts w:hint="eastAsia" w:ascii="仿宋" w:hAnsi="仿宋" w:eastAsia="仿宋" w:cs="仿宋"/>
          <w:kern w:val="2"/>
          <w:sz w:val="24"/>
        </w:rPr>
        <w:t>月X</w:t>
      </w:r>
      <w:r>
        <w:rPr>
          <w:rFonts w:ascii="仿宋" w:hAnsi="仿宋" w:eastAsia="仿宋" w:cs="仿宋"/>
          <w:kern w:val="2"/>
          <w:sz w:val="24"/>
        </w:rPr>
        <w:t>X</w:t>
      </w:r>
      <w:r>
        <w:rPr>
          <w:rFonts w:hint="eastAsia" w:ascii="仿宋" w:hAnsi="仿宋" w:eastAsia="仿宋" w:cs="仿宋"/>
          <w:kern w:val="2"/>
          <w:sz w:val="24"/>
        </w:rPr>
        <w:t>日</w:t>
      </w:r>
    </w:p>
    <w:p>
      <w:pPr>
        <w:spacing w:line="360" w:lineRule="auto"/>
        <w:ind w:firstLine="480" w:firstLineChars="200"/>
        <w:jc w:val="left"/>
        <w:rPr>
          <w:rFonts w:ascii="仿宋" w:hAnsi="仿宋" w:eastAsia="仿宋" w:cs="仿宋"/>
          <w:sz w:val="24"/>
          <w:szCs w:val="24"/>
        </w:rPr>
      </w:pPr>
      <w:bookmarkStart w:id="3" w:name="_Hlk120778537"/>
      <w:r>
        <w:rPr>
          <w:rFonts w:hint="eastAsia" w:ascii="仿宋" w:hAnsi="仿宋" w:eastAsia="仿宋" w:cs="仿宋"/>
          <w:sz w:val="24"/>
          <w:szCs w:val="24"/>
        </w:rPr>
        <w:t>前述交货时间为是为暂定的交货时间。乙方完全知悉，甲方的交货将受到爆破、开采、生产等多方面影响，故甲方有权根据实际工程进度、生产进度、现场情况等因素进行调整，具体以甲方通知为准，乙方不得以任何理由违反甲方的提货要求、提异议或要求</w:t>
      </w:r>
      <w:r>
        <w:rPr>
          <w:rFonts w:hint="eastAsia" w:ascii="仿宋" w:hAnsi="仿宋" w:eastAsia="仿宋"/>
          <w:sz w:val="24"/>
          <w:szCs w:val="24"/>
        </w:rPr>
        <w:t>车/船空置</w:t>
      </w:r>
      <w:r>
        <w:rPr>
          <w:rFonts w:hint="eastAsia" w:ascii="仿宋" w:hAnsi="仿宋" w:eastAsia="仿宋" w:cs="仿宋"/>
          <w:sz w:val="24"/>
          <w:szCs w:val="24"/>
        </w:rPr>
        <w:t>赔偿等。</w:t>
      </w:r>
      <w:bookmarkEnd w:id="3"/>
    </w:p>
    <w:p>
      <w:pPr>
        <w:pStyle w:val="5"/>
        <w:ind w:firstLine="480"/>
        <w:jc w:val="left"/>
        <w:rPr>
          <w:rFonts w:ascii="仿宋" w:hAnsi="仿宋" w:eastAsia="仿宋" w:cs="仿宋"/>
          <w:sz w:val="24"/>
          <w:szCs w:val="24"/>
        </w:rPr>
      </w:pPr>
      <w:r>
        <w:rPr>
          <w:rFonts w:ascii="仿宋" w:hAnsi="仿宋" w:eastAsia="仿宋"/>
          <w:sz w:val="24"/>
          <w:szCs w:val="24"/>
        </w:rPr>
        <w:t>2.</w:t>
      </w:r>
      <w:r>
        <w:rPr>
          <w:rFonts w:hint="eastAsia" w:ascii="仿宋" w:hAnsi="仿宋" w:eastAsia="仿宋"/>
          <w:sz w:val="24"/>
          <w:szCs w:val="24"/>
        </w:rPr>
        <w:t>交货方式：</w:t>
      </w:r>
      <w:bookmarkStart w:id="4" w:name="_Hlk120778770"/>
      <w:r>
        <w:rPr>
          <w:rFonts w:hint="eastAsia" w:ascii="仿宋" w:hAnsi="仿宋" w:eastAsia="仿宋"/>
          <w:sz w:val="24"/>
          <w:szCs w:val="24"/>
        </w:rPr>
        <w:t>船板交货，</w:t>
      </w:r>
      <w:bookmarkEnd w:id="4"/>
      <w:r>
        <w:rPr>
          <w:rFonts w:hint="eastAsia" w:ascii="仿宋" w:hAnsi="仿宋" w:eastAsia="仿宋" w:cs="仿宋"/>
          <w:sz w:val="24"/>
          <w:szCs w:val="24"/>
        </w:rPr>
        <w:t>装船位置位于穿鼻岛甲方指定临时出运码头，甲方将</w:t>
      </w:r>
      <w:r>
        <w:rPr>
          <w:rFonts w:hint="eastAsia" w:ascii="仿宋" w:hAnsi="仿宋" w:eastAsia="仿宋" w:cs="仿宋"/>
          <w:sz w:val="24"/>
          <w:szCs w:val="24"/>
          <w:lang w:eastAsia="zh-CN"/>
        </w:rPr>
        <w:t>5:5宕碴</w:t>
      </w:r>
      <w:r>
        <w:rPr>
          <w:rFonts w:hint="eastAsia" w:ascii="仿宋" w:hAnsi="仿宋" w:eastAsia="仿宋" w:cs="仿宋"/>
          <w:sz w:val="24"/>
          <w:szCs w:val="24"/>
        </w:rPr>
        <w:t>卸至乙方装运船舶即视同交付完成，后续船上的堆放、整理以及船运工作由乙方自行负责，堆放、整理以及运输过程中的费用、安全、风险（包括但不限于货物存储、第三方侵权等任何原因而遭受的短少、毁损、灭失等)与甲方无关。</w:t>
      </w:r>
    </w:p>
    <w:p>
      <w:pPr>
        <w:pStyle w:val="5"/>
        <w:ind w:firstLine="480"/>
        <w:jc w:val="left"/>
        <w:rPr>
          <w:rFonts w:ascii="仿宋" w:hAnsi="仿宋" w:eastAsia="仿宋"/>
          <w:sz w:val="24"/>
          <w:szCs w:val="24"/>
        </w:rPr>
      </w:pPr>
      <w:r>
        <w:rPr>
          <w:rFonts w:hint="eastAsia" w:ascii="仿宋" w:hAnsi="仿宋" w:eastAsia="仿宋" w:cs="仿宋"/>
          <w:sz w:val="24"/>
          <w:szCs w:val="24"/>
        </w:rPr>
        <w:t>3</w:t>
      </w:r>
      <w:r>
        <w:rPr>
          <w:rFonts w:ascii="仿宋" w:hAnsi="仿宋" w:eastAsia="仿宋" w:cs="仿宋"/>
          <w:sz w:val="24"/>
          <w:szCs w:val="24"/>
        </w:rPr>
        <w:t>.</w:t>
      </w:r>
      <w:r>
        <w:rPr>
          <w:rFonts w:hint="eastAsia" w:ascii="仿宋" w:hAnsi="仿宋" w:eastAsia="仿宋" w:cs="仿宋"/>
          <w:sz w:val="24"/>
          <w:szCs w:val="24"/>
        </w:rPr>
        <w:t>乙方应按甲方要求及时离港、离泊、出运等，不得影响甲方后续装载计划或生产销售、工期等，否则应按本合同约定承担违约责任。</w:t>
      </w:r>
    </w:p>
    <w:p>
      <w:pPr>
        <w:pStyle w:val="5"/>
        <w:ind w:firstLine="482"/>
        <w:jc w:val="left"/>
        <w:rPr>
          <w:rFonts w:ascii="仿宋" w:hAnsi="仿宋" w:eastAsia="仿宋"/>
          <w:b/>
          <w:sz w:val="24"/>
          <w:szCs w:val="24"/>
        </w:rPr>
      </w:pPr>
      <w:r>
        <w:rPr>
          <w:rFonts w:hint="eastAsia" w:ascii="仿宋" w:hAnsi="仿宋" w:eastAsia="仿宋"/>
          <w:b/>
          <w:sz w:val="24"/>
          <w:szCs w:val="24"/>
        </w:rPr>
        <w:t>五、计量确认：</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结算数量按甲方电子过磅数据计量为准，产品装船后，甲方与乙方船舶</w:t>
      </w:r>
      <w:r>
        <w:rPr>
          <w:rFonts w:hint="eastAsia" w:ascii="仿宋" w:hAnsi="仿宋" w:eastAsia="仿宋"/>
          <w:sz w:val="24"/>
          <w:szCs w:val="24"/>
        </w:rPr>
        <w:t>或乙方其他代理人</w:t>
      </w:r>
      <w:r>
        <w:rPr>
          <w:rFonts w:hint="eastAsia" w:ascii="仿宋" w:hAnsi="仿宋" w:eastAsia="仿宋" w:cs="仿宋"/>
          <w:sz w:val="24"/>
          <w:szCs w:val="24"/>
        </w:rPr>
        <w:t>在离港前共同</w:t>
      </w:r>
      <w:r>
        <w:rPr>
          <w:rFonts w:hint="eastAsia" w:ascii="仿宋" w:hAnsi="仿宋" w:eastAsia="仿宋"/>
          <w:sz w:val="24"/>
          <w:szCs w:val="24"/>
        </w:rPr>
        <w:t>签章</w:t>
      </w:r>
      <w:r>
        <w:rPr>
          <w:rFonts w:hint="eastAsia" w:ascii="仿宋" w:hAnsi="仿宋" w:eastAsia="仿宋" w:cs="仿宋"/>
          <w:sz w:val="24"/>
          <w:szCs w:val="24"/>
        </w:rPr>
        <w:t>确认交货数量。</w:t>
      </w:r>
    </w:p>
    <w:p>
      <w:pPr>
        <w:pStyle w:val="5"/>
        <w:ind w:firstLine="482"/>
        <w:jc w:val="left"/>
        <w:rPr>
          <w:rFonts w:ascii="仿宋" w:hAnsi="仿宋" w:eastAsia="仿宋"/>
          <w:b/>
          <w:sz w:val="24"/>
          <w:szCs w:val="24"/>
        </w:rPr>
      </w:pPr>
      <w:r>
        <w:rPr>
          <w:rFonts w:hint="eastAsia" w:ascii="仿宋" w:hAnsi="仿宋" w:eastAsia="仿宋"/>
          <w:b/>
          <w:sz w:val="24"/>
          <w:szCs w:val="24"/>
        </w:rPr>
        <w:t>六、支付与</w:t>
      </w:r>
      <w:r>
        <w:rPr>
          <w:rFonts w:hint="eastAsia" w:ascii="仿宋" w:hAnsi="仿宋" w:eastAsia="仿宋" w:cs="仿宋"/>
          <w:b/>
          <w:bCs/>
          <w:sz w:val="24"/>
          <w:szCs w:val="24"/>
        </w:rPr>
        <w:t>对账</w:t>
      </w:r>
      <w:r>
        <w:rPr>
          <w:rFonts w:hint="eastAsia" w:ascii="仿宋" w:hAnsi="仿宋" w:eastAsia="仿宋"/>
          <w:b/>
          <w:sz w:val="24"/>
          <w:szCs w:val="24"/>
        </w:rPr>
        <w:t>：</w:t>
      </w:r>
    </w:p>
    <w:p>
      <w:pPr>
        <w:pStyle w:val="5"/>
        <w:ind w:firstLine="480"/>
        <w:jc w:val="left"/>
        <w:rPr>
          <w:rFonts w:ascii="仿宋" w:hAnsi="仿宋" w:eastAsia="仿宋" w:cs="仿宋"/>
          <w:sz w:val="24"/>
          <w:szCs w:val="24"/>
        </w:rPr>
      </w:pPr>
      <w:r>
        <w:rPr>
          <w:rFonts w:hint="eastAsia" w:ascii="仿宋" w:hAnsi="仿宋" w:eastAsia="仿宋" w:cs="仿宋"/>
          <w:sz w:val="24"/>
          <w:szCs w:val="24"/>
        </w:rPr>
        <w:t>1.支付：</w:t>
      </w:r>
      <w:r>
        <w:rPr>
          <w:rFonts w:hint="eastAsia" w:ascii="仿宋" w:hAnsi="仿宋" w:eastAsia="仿宋"/>
          <w:sz w:val="24"/>
          <w:szCs w:val="24"/>
        </w:rPr>
        <w:t>款到发货：乙方应在船舶靠泊前付清当批货物货款及费用等全部款项。</w:t>
      </w:r>
    </w:p>
    <w:p>
      <w:pPr>
        <w:pStyle w:val="2"/>
        <w:spacing w:after="0" w:line="360" w:lineRule="auto"/>
        <w:ind w:left="0" w:leftChars="0" w:firstLine="480"/>
        <w:jc w:val="left"/>
        <w:rPr>
          <w:rFonts w:ascii="仿宋" w:hAnsi="仿宋" w:eastAsia="仿宋"/>
          <w:sz w:val="24"/>
          <w:szCs w:val="24"/>
        </w:rPr>
      </w:pPr>
      <w:r>
        <w:rPr>
          <w:rFonts w:hint="eastAsia" w:ascii="仿宋" w:hAnsi="仿宋" w:eastAsia="仿宋" w:cs="仿宋"/>
          <w:sz w:val="24"/>
          <w:szCs w:val="24"/>
        </w:rPr>
        <w:t>2.对账：</w:t>
      </w:r>
      <w:r>
        <w:rPr>
          <w:rFonts w:hint="eastAsia" w:ascii="仿宋" w:hAnsi="仿宋" w:eastAsia="仿宋"/>
          <w:sz w:val="24"/>
          <w:szCs w:val="24"/>
        </w:rPr>
        <w:t>每月1日至当月最后一天为一个结算周期，甲乙双方凭双方确认的发货数量，每月核对往来明细款，核对无误后，需经双方盖章或签字确认。</w:t>
      </w:r>
    </w:p>
    <w:p>
      <w:pPr>
        <w:pStyle w:val="5"/>
        <w:ind w:firstLine="482"/>
        <w:jc w:val="left"/>
        <w:rPr>
          <w:rFonts w:ascii="仿宋" w:hAnsi="仿宋" w:eastAsia="仿宋"/>
          <w:b/>
          <w:sz w:val="24"/>
          <w:szCs w:val="24"/>
        </w:rPr>
      </w:pPr>
      <w:r>
        <w:rPr>
          <w:rFonts w:hint="eastAsia" w:ascii="仿宋" w:hAnsi="仿宋" w:eastAsia="仿宋"/>
          <w:b/>
          <w:sz w:val="24"/>
          <w:szCs w:val="24"/>
        </w:rPr>
        <w:t>七、甲方指定收款账户：</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开户名：宁波振诚矿业有限公司</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 xml:space="preserve">账号： </w:t>
      </w:r>
      <w:r>
        <w:rPr>
          <w:rFonts w:hint="eastAsia"/>
          <w:sz w:val="24"/>
          <w:szCs w:val="24"/>
          <w:u w:val="single"/>
        </w:rPr>
        <w:t>3</w:t>
      </w:r>
      <w:r>
        <w:rPr>
          <w:sz w:val="24"/>
          <w:szCs w:val="24"/>
          <w:u w:val="single"/>
        </w:rPr>
        <w:t>3150198414300000716</w:t>
      </w:r>
    </w:p>
    <w:p>
      <w:pPr>
        <w:spacing w:line="360" w:lineRule="auto"/>
        <w:ind w:firstLine="480" w:firstLineChars="200"/>
        <w:jc w:val="left"/>
        <w:rPr>
          <w:rFonts w:ascii="仿宋" w:hAnsi="仿宋" w:eastAsia="仿宋" w:cs="仿宋"/>
          <w:sz w:val="24"/>
          <w:szCs w:val="24"/>
          <w:u w:val="single"/>
        </w:rPr>
      </w:pPr>
      <w:r>
        <w:rPr>
          <w:rFonts w:hint="eastAsia" w:ascii="仿宋" w:hAnsi="仿宋" w:eastAsia="仿宋" w:cs="仿宋"/>
          <w:sz w:val="24"/>
          <w:szCs w:val="24"/>
        </w:rPr>
        <w:t>开户银行：</w:t>
      </w:r>
      <w:r>
        <w:rPr>
          <w:rFonts w:hint="eastAsia" w:ascii="仿宋" w:hAnsi="仿宋" w:eastAsia="仿宋"/>
          <w:sz w:val="24"/>
          <w:szCs w:val="24"/>
          <w:u w:val="single"/>
        </w:rPr>
        <w:t xml:space="preserve">  </w:t>
      </w:r>
      <w:r>
        <w:rPr>
          <w:rFonts w:hint="eastAsia"/>
          <w:sz w:val="24"/>
          <w:szCs w:val="24"/>
          <w:u w:val="single"/>
        </w:rPr>
        <w:t>中国建设银行宁波市北仑区大榭支行</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九、双方权利和义务：</w:t>
      </w:r>
    </w:p>
    <w:p>
      <w:pPr>
        <w:pStyle w:val="19"/>
        <w:spacing w:line="360" w:lineRule="auto"/>
        <w:ind w:firstLine="482"/>
        <w:jc w:val="left"/>
        <w:rPr>
          <w:rFonts w:ascii="仿宋" w:hAnsi="仿宋" w:eastAsia="仿宋"/>
          <w:b/>
          <w:bCs/>
          <w:sz w:val="24"/>
        </w:rPr>
      </w:pPr>
      <w:r>
        <w:rPr>
          <w:rFonts w:hint="eastAsia" w:ascii="仿宋" w:hAnsi="仿宋" w:eastAsia="仿宋"/>
          <w:b/>
          <w:bCs/>
          <w:sz w:val="24"/>
        </w:rPr>
        <w:t>1.乙方已充分了解并同意装货码头情况及海事等相关主管部门对船舶和出运等方面的全部要求，不得提出有关的任何争议和补偿等。</w:t>
      </w:r>
    </w:p>
    <w:p>
      <w:pPr>
        <w:pStyle w:val="19"/>
        <w:spacing w:line="360" w:lineRule="auto"/>
        <w:ind w:firstLine="482"/>
        <w:jc w:val="left"/>
        <w:rPr>
          <w:rFonts w:ascii="仿宋" w:hAnsi="仿宋" w:eastAsia="仿宋"/>
          <w:b/>
          <w:bCs/>
          <w:sz w:val="24"/>
        </w:rPr>
      </w:pPr>
      <w:r>
        <w:rPr>
          <w:rFonts w:hint="eastAsia" w:ascii="仿宋" w:hAnsi="仿宋" w:eastAsia="仿宋"/>
          <w:b/>
          <w:bCs/>
          <w:sz w:val="24"/>
        </w:rPr>
        <w:t>2</w:t>
      </w:r>
      <w:r>
        <w:rPr>
          <w:rFonts w:ascii="仿宋" w:hAnsi="仿宋" w:eastAsia="仿宋"/>
          <w:b/>
          <w:bCs/>
          <w:sz w:val="24"/>
        </w:rPr>
        <w:t>.</w:t>
      </w:r>
      <w:r>
        <w:rPr>
          <w:rFonts w:hint="eastAsia" w:ascii="仿宋" w:hAnsi="仿宋" w:eastAsia="仿宋"/>
          <w:b/>
          <w:bCs/>
          <w:sz w:val="24"/>
        </w:rPr>
        <w:t>乙方必须自行组织数量足够、船型合适的船舶，同时船舶必须满足法律法规要求及行业主管部门的要求，有关证书需提供给甲方备查。内河船不得参与海上运输。装货及海运的安全事宜由乙方全权负责，与甲方无涉。</w:t>
      </w:r>
    </w:p>
    <w:p>
      <w:pPr>
        <w:pStyle w:val="19"/>
        <w:spacing w:line="360" w:lineRule="auto"/>
        <w:ind w:firstLine="482"/>
        <w:jc w:val="left"/>
        <w:rPr>
          <w:rFonts w:ascii="仿宋" w:hAnsi="仿宋" w:eastAsia="仿宋"/>
          <w:b/>
          <w:bCs/>
          <w:sz w:val="24"/>
        </w:rPr>
      </w:pPr>
      <w:r>
        <w:rPr>
          <w:rFonts w:ascii="仿宋" w:hAnsi="仿宋" w:eastAsia="仿宋"/>
          <w:b/>
          <w:bCs/>
          <w:sz w:val="24"/>
        </w:rPr>
        <w:t>3.</w:t>
      </w:r>
      <w:r>
        <w:rPr>
          <w:rFonts w:hint="eastAsia" w:ascii="仿宋" w:hAnsi="仿宋" w:eastAsia="仿宋"/>
          <w:b/>
          <w:bCs/>
          <w:sz w:val="24"/>
        </w:rPr>
        <w:t>乙方装货前需在甲方处完成船舶备案工作，备案船舶应符合装货地相关海事、港航等部门要求的海运船舶，备案需提交相关合法运营资料。</w:t>
      </w:r>
    </w:p>
    <w:p>
      <w:pPr>
        <w:pStyle w:val="19"/>
        <w:spacing w:line="360" w:lineRule="auto"/>
        <w:ind w:firstLine="482"/>
        <w:jc w:val="left"/>
        <w:rPr>
          <w:rFonts w:ascii="仿宋" w:hAnsi="仿宋" w:eastAsia="仿宋" w:cs="仿宋"/>
          <w:b/>
          <w:bCs/>
          <w:sz w:val="24"/>
        </w:rPr>
      </w:pPr>
      <w:r>
        <w:rPr>
          <w:rFonts w:ascii="仿宋" w:hAnsi="仿宋" w:eastAsia="仿宋"/>
          <w:b/>
          <w:bCs/>
          <w:sz w:val="24"/>
        </w:rPr>
        <w:t>4</w:t>
      </w:r>
      <w:r>
        <w:rPr>
          <w:rFonts w:hint="eastAsia" w:ascii="仿宋" w:hAnsi="仿宋" w:eastAsia="仿宋"/>
          <w:b/>
          <w:bCs/>
          <w:sz w:val="24"/>
        </w:rPr>
        <w:t>.</w:t>
      </w:r>
      <w:r>
        <w:rPr>
          <w:rFonts w:hint="eastAsia" w:ascii="仿宋" w:hAnsi="仿宋" w:eastAsia="仿宋" w:cs="仿宋"/>
          <w:b/>
          <w:bCs/>
          <w:sz w:val="24"/>
        </w:rPr>
        <w:t>乙方装运船舶应按照海事、港航等相关部门规定进行作业，保证船舶与人员安全，</w:t>
      </w:r>
      <w:r>
        <w:rPr>
          <w:rFonts w:hint="eastAsia" w:ascii="仿宋" w:hAnsi="仿宋" w:eastAsia="仿宋" w:cs="仿宋"/>
          <w:b/>
          <w:bCs/>
          <w:kern w:val="0"/>
          <w:sz w:val="24"/>
        </w:rPr>
        <w:t>所有船舶装载量不得超过该船营运证书登记的荷载量，船舶航线需在船舶营运证核定范围内，</w:t>
      </w:r>
      <w:r>
        <w:rPr>
          <w:rFonts w:hint="eastAsia" w:ascii="仿宋" w:hAnsi="仿宋" w:eastAsia="仿宋" w:cs="仿宋"/>
          <w:b/>
          <w:bCs/>
          <w:sz w:val="24"/>
        </w:rPr>
        <w:t>船舶与人员的一切经济、安全等责任均由乙方自行承担。</w:t>
      </w:r>
    </w:p>
    <w:p>
      <w:pPr>
        <w:pStyle w:val="19"/>
        <w:spacing w:line="360" w:lineRule="auto"/>
        <w:ind w:firstLine="482"/>
        <w:jc w:val="left"/>
        <w:rPr>
          <w:rFonts w:ascii="仿宋" w:hAnsi="仿宋" w:eastAsia="仿宋"/>
          <w:b/>
          <w:bCs/>
          <w:sz w:val="24"/>
        </w:rPr>
      </w:pPr>
      <w:r>
        <w:rPr>
          <w:rFonts w:ascii="仿宋" w:hAnsi="仿宋" w:eastAsia="仿宋" w:cs="仿宋"/>
          <w:b/>
          <w:bCs/>
          <w:sz w:val="24"/>
        </w:rPr>
        <w:t>5</w:t>
      </w:r>
      <w:r>
        <w:rPr>
          <w:rFonts w:hint="eastAsia" w:ascii="仿宋" w:hAnsi="仿宋" w:eastAsia="仿宋" w:cs="仿宋"/>
          <w:b/>
          <w:bCs/>
          <w:sz w:val="24"/>
        </w:rPr>
        <w:t>乙方必须服从甲方现场管理人员的指挥，包括船舶调度</w:t>
      </w:r>
      <w:r>
        <w:rPr>
          <w:rFonts w:hint="eastAsia" w:ascii="仿宋" w:hAnsi="仿宋" w:eastAsia="仿宋"/>
          <w:b/>
          <w:bCs/>
          <w:sz w:val="24"/>
        </w:rPr>
        <w:t>、货物装卸、离港时间等，否则甲方有权给乙方</w:t>
      </w:r>
      <w:r>
        <w:rPr>
          <w:rFonts w:hint="eastAsia" w:ascii="仿宋" w:hAnsi="仿宋" w:eastAsia="仿宋" w:cs="仿宋"/>
          <w:b/>
          <w:bCs/>
          <w:sz w:val="24"/>
        </w:rPr>
        <w:t>每事项/</w:t>
      </w:r>
      <w:r>
        <w:rPr>
          <w:rFonts w:hint="eastAsia" w:ascii="仿宋" w:hAnsi="仿宋" w:eastAsia="仿宋"/>
          <w:b/>
          <w:bCs/>
          <w:sz w:val="24"/>
        </w:rPr>
        <w:t>每次1万—5万元的违约金。该违约金不足以弥补甲方损失的，乙方应另行补足。</w:t>
      </w:r>
    </w:p>
    <w:p>
      <w:pPr>
        <w:pStyle w:val="19"/>
        <w:spacing w:line="360" w:lineRule="auto"/>
        <w:ind w:firstLine="482"/>
        <w:jc w:val="left"/>
        <w:rPr>
          <w:rFonts w:ascii="仿宋" w:hAnsi="仿宋" w:eastAsia="仿宋"/>
          <w:b/>
          <w:bCs/>
          <w:sz w:val="24"/>
        </w:rPr>
      </w:pPr>
      <w:r>
        <w:rPr>
          <w:rFonts w:ascii="仿宋" w:hAnsi="仿宋" w:eastAsia="仿宋"/>
          <w:b/>
          <w:bCs/>
          <w:sz w:val="24"/>
        </w:rPr>
        <w:t>6</w:t>
      </w:r>
      <w:r>
        <w:rPr>
          <w:rFonts w:hint="eastAsia" w:ascii="仿宋" w:hAnsi="仿宋" w:eastAsia="仿宋"/>
          <w:b/>
          <w:bCs/>
          <w:sz w:val="24"/>
        </w:rPr>
        <w:t>.乙方提供的甲板船跳板承应足够满足甲方运输车辆的载重，确保甲方车辆及货物等安全运输到乙方船舶，否则引起的安全等责任及造成的一切损失均由乙方承担。</w:t>
      </w:r>
    </w:p>
    <w:p>
      <w:pPr>
        <w:pStyle w:val="19"/>
        <w:spacing w:line="360" w:lineRule="auto"/>
        <w:ind w:firstLine="482"/>
        <w:jc w:val="left"/>
        <w:rPr>
          <w:rFonts w:ascii="仿宋" w:hAnsi="仿宋" w:eastAsia="仿宋"/>
          <w:b/>
          <w:bCs/>
          <w:sz w:val="24"/>
        </w:rPr>
      </w:pPr>
      <w:r>
        <w:rPr>
          <w:rFonts w:ascii="仿宋" w:hAnsi="仿宋" w:eastAsia="仿宋"/>
          <w:b/>
          <w:bCs/>
          <w:sz w:val="24"/>
        </w:rPr>
        <w:t>7</w:t>
      </w:r>
      <w:r>
        <w:rPr>
          <w:rFonts w:hint="eastAsia" w:ascii="仿宋" w:hAnsi="仿宋" w:eastAsia="仿宋"/>
          <w:b/>
          <w:bCs/>
          <w:sz w:val="24"/>
        </w:rPr>
        <w:t>.乙方应当及时向甲方发送书面装货计划，装货计划应包含船舶名称、产品名称、产品规格、数量、到港时间等信息，但该装货计划对甲方无约束力。</w:t>
      </w:r>
    </w:p>
    <w:p>
      <w:pPr>
        <w:pStyle w:val="19"/>
        <w:spacing w:line="360" w:lineRule="auto"/>
        <w:ind w:firstLine="480"/>
        <w:jc w:val="left"/>
        <w:rPr>
          <w:rFonts w:ascii="仿宋" w:hAnsi="仿宋" w:eastAsia="仿宋"/>
          <w:sz w:val="24"/>
        </w:rPr>
      </w:pPr>
      <w:r>
        <w:rPr>
          <w:rFonts w:ascii="仿宋" w:hAnsi="仿宋" w:eastAsia="仿宋"/>
          <w:sz w:val="24"/>
        </w:rPr>
        <w:t>8</w:t>
      </w:r>
      <w:r>
        <w:rPr>
          <w:rFonts w:hint="eastAsia" w:ascii="仿宋" w:hAnsi="仿宋" w:eastAsia="仿宋"/>
          <w:sz w:val="24"/>
        </w:rPr>
        <w:t>.本合同中所涉及双方企业的商业机密，甲乙双方必须严格履行保密义务，不得向第三方提供。</w:t>
      </w:r>
    </w:p>
    <w:p>
      <w:pPr>
        <w:pStyle w:val="19"/>
        <w:spacing w:line="360" w:lineRule="auto"/>
        <w:ind w:firstLine="482"/>
        <w:jc w:val="left"/>
        <w:rPr>
          <w:rFonts w:ascii="仿宋" w:hAnsi="仿宋" w:eastAsia="仿宋"/>
          <w:b/>
          <w:sz w:val="24"/>
        </w:rPr>
      </w:pPr>
      <w:r>
        <w:rPr>
          <w:rFonts w:hint="eastAsia" w:ascii="仿宋" w:hAnsi="仿宋" w:eastAsia="仿宋"/>
          <w:b/>
          <w:sz w:val="24"/>
        </w:rPr>
        <w:t>十、违约责任：</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1.乙方未及时足额按照甲方要求的提货期限和数量出运货物（包括但不限于乙方安排船舶未通过海事等相关部门同意等原因导致），乙方应立即支付</w:t>
      </w:r>
      <w:r>
        <w:rPr>
          <w:rFonts w:hint="eastAsia" w:ascii="仿宋" w:hAnsi="仿宋" w:eastAsia="仿宋"/>
          <w:sz w:val="24"/>
          <w:szCs w:val="24"/>
          <w:lang w:val="en-US" w:eastAsia="zh-CN"/>
        </w:rPr>
        <w:t>3</w:t>
      </w:r>
      <w:r>
        <w:rPr>
          <w:rFonts w:hint="eastAsia" w:ascii="仿宋" w:hAnsi="仿宋" w:eastAsia="仿宋"/>
          <w:sz w:val="24"/>
          <w:szCs w:val="24"/>
        </w:rPr>
        <w:t>万元违约金，甲方有权从履约保证金中直接扣除，且视为乙方根本违约，甲方有权无需通知乙方同时采取以下的一项或多项进行救济：（1）自行处置乙方未付款提货部分的货物；（2）解除本合同；(3）取消后续未履行部分的合同；（4）要求乙方一次性支付本合同及与甲方签订的其他合同项下所有到期及未到期的全部应付款项；（5）保留追索其他损失的权利。</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2．自乙方违反本协议约定及法定义务之日起，其于后支付的任何款项按以下顺序清偿：（1）代垫费用；（2）甲方为实现权利而支付的费用；（3）违约金、损失赔偿金等；（4）货款本金。</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其余按《中华人民共和国民法典》及相关法律法规处理。</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3．本合同的损失包括但不限于甲方转卖货物的差价损失、乙方影响甲方生产、销售、工期延误等产生的全部损失以及律师费、公告费、鉴定费、评估费、竞卖费等任何为实现债权而支出的合理费用。</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十一、纠纷的解决：</w:t>
      </w:r>
    </w:p>
    <w:p>
      <w:pPr>
        <w:pStyle w:val="19"/>
        <w:spacing w:line="360" w:lineRule="auto"/>
        <w:ind w:firstLine="480"/>
        <w:jc w:val="left"/>
        <w:rPr>
          <w:rFonts w:ascii="仿宋" w:hAnsi="仿宋" w:eastAsia="仿宋"/>
          <w:sz w:val="24"/>
        </w:rPr>
      </w:pPr>
      <w:r>
        <w:rPr>
          <w:rFonts w:hint="eastAsia" w:ascii="仿宋" w:hAnsi="仿宋" w:eastAsia="仿宋"/>
          <w:sz w:val="24"/>
        </w:rPr>
        <w:t>本合同的订立和履行适用中国法律，并依据中国法律解释。因本合同产生的纠纷，双方协商解决，协商不成，则由签约地有管辖权法院管辖；诉讼费、保全费、律师费等由违约方承担。</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十二、其他约定：</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1.因国家政策、规定、法律改变而导致甲方无法继续履约或无法完全履约，甲方不承担相应的风险和责任。</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2.乙方保证本合同中所载乙方或其代理人的联系地址、电话等真实有效，该联系地址亦为司法机关相关诉讼、执行等法律文书的送达地址，向上述地址寄送后三日即视为送达。相关地址如有变更，乙方应当重新签署地址变更确认书并及时书面通知甲方；否则，有关通知、法律文书等未能送达的责任及后果由乙方承担。</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3.本合同经双方签章后生效。本合同一式两份，双方各执一份，具有同等法律效力。</w:t>
      </w:r>
    </w:p>
    <w:tbl>
      <w:tblPr>
        <w:tblStyle w:val="10"/>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172"/>
        <w:gridCol w:w="1790"/>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甲方：</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宁波振诚矿业有限公司</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乙方：</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kern w:val="0"/>
                <w:sz w:val="24"/>
                <w:szCs w:val="24"/>
              </w:rPr>
            </w:pPr>
            <w:r>
              <w:rPr>
                <w:rFonts w:hint="eastAsia" w:ascii="仿宋" w:hAnsi="仿宋" w:eastAsia="仿宋"/>
                <w:kern w:val="0"/>
                <w:sz w:val="24"/>
                <w:szCs w:val="24"/>
              </w:rPr>
              <w:t>法定代表人或授权代理人（签字）：</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kern w:val="0"/>
                <w:sz w:val="24"/>
                <w:szCs w:val="24"/>
              </w:rPr>
            </w:pPr>
            <w:r>
              <w:rPr>
                <w:rFonts w:hint="eastAsia" w:ascii="仿宋" w:hAnsi="仿宋" w:eastAsia="仿宋"/>
                <w:kern w:val="0"/>
                <w:sz w:val="24"/>
                <w:szCs w:val="24"/>
              </w:rPr>
              <w:t>法定代表人或授权代理人（签字）：</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联系地址：</w:t>
            </w:r>
          </w:p>
        </w:tc>
        <w:tc>
          <w:tcPr>
            <w:tcW w:w="3172" w:type="dxa"/>
            <w:tcBorders>
              <w:top w:val="single" w:color="auto" w:sz="4" w:space="0"/>
              <w:left w:val="single" w:color="auto" w:sz="4" w:space="0"/>
              <w:bottom w:val="single" w:color="auto" w:sz="4" w:space="0"/>
              <w:right w:val="single" w:color="auto" w:sz="4" w:space="0"/>
            </w:tcBorders>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大榭街道滨海东路12号</w:t>
            </w:r>
          </w:p>
        </w:tc>
        <w:tc>
          <w:tcPr>
            <w:tcW w:w="1790" w:type="dxa"/>
            <w:tcBorders>
              <w:top w:val="single" w:color="auto" w:sz="4" w:space="0"/>
              <w:left w:val="single" w:color="auto" w:sz="4" w:space="0"/>
              <w:bottom w:val="single" w:color="auto" w:sz="4" w:space="0"/>
              <w:right w:val="single" w:color="auto" w:sz="4" w:space="0"/>
            </w:tcBorders>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联系地址：</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联系人：</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朱君豪</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联系人：</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联系电话：</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15305801089</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联系电话：</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bl>
    <w:p>
      <w:pPr>
        <w:spacing w:line="380" w:lineRule="exact"/>
        <w:ind w:firstLine="200"/>
        <w:jc w:val="left"/>
        <w:rPr>
          <w:rFonts w:ascii="仿宋" w:hAnsi="仿宋" w:eastAsia="仿宋"/>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2081855"/>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2ZjZhMWY2ZTEzYTU5ZTYzNGEyNWEwNTkyMDFiOWIifQ=="/>
  </w:docVars>
  <w:rsids>
    <w:rsidRoot w:val="0089701F"/>
    <w:rsid w:val="0000696A"/>
    <w:rsid w:val="0001501F"/>
    <w:rsid w:val="00020ABB"/>
    <w:rsid w:val="0002390E"/>
    <w:rsid w:val="000313D0"/>
    <w:rsid w:val="00031FC3"/>
    <w:rsid w:val="000357FD"/>
    <w:rsid w:val="00036B66"/>
    <w:rsid w:val="0004368E"/>
    <w:rsid w:val="00057C0A"/>
    <w:rsid w:val="00074DEF"/>
    <w:rsid w:val="000D7F86"/>
    <w:rsid w:val="00114C27"/>
    <w:rsid w:val="00120765"/>
    <w:rsid w:val="001344AE"/>
    <w:rsid w:val="001742D4"/>
    <w:rsid w:val="001D052C"/>
    <w:rsid w:val="001D1CDD"/>
    <w:rsid w:val="001E48B7"/>
    <w:rsid w:val="002304DD"/>
    <w:rsid w:val="00233203"/>
    <w:rsid w:val="00245FA3"/>
    <w:rsid w:val="00257ECC"/>
    <w:rsid w:val="00277E70"/>
    <w:rsid w:val="002802AB"/>
    <w:rsid w:val="0029542D"/>
    <w:rsid w:val="00295BA8"/>
    <w:rsid w:val="002F425D"/>
    <w:rsid w:val="003637F2"/>
    <w:rsid w:val="00393C2B"/>
    <w:rsid w:val="00394801"/>
    <w:rsid w:val="003A17AE"/>
    <w:rsid w:val="003B2B8D"/>
    <w:rsid w:val="003E04E2"/>
    <w:rsid w:val="003E3684"/>
    <w:rsid w:val="003E5F6E"/>
    <w:rsid w:val="00446777"/>
    <w:rsid w:val="00447B1A"/>
    <w:rsid w:val="00450032"/>
    <w:rsid w:val="00464EFD"/>
    <w:rsid w:val="00471592"/>
    <w:rsid w:val="00484452"/>
    <w:rsid w:val="00506404"/>
    <w:rsid w:val="00527E3B"/>
    <w:rsid w:val="00573309"/>
    <w:rsid w:val="00584908"/>
    <w:rsid w:val="0059527C"/>
    <w:rsid w:val="005A61DA"/>
    <w:rsid w:val="005B652F"/>
    <w:rsid w:val="005C6D38"/>
    <w:rsid w:val="00650329"/>
    <w:rsid w:val="006556F1"/>
    <w:rsid w:val="00675624"/>
    <w:rsid w:val="00683C9B"/>
    <w:rsid w:val="006B7D1D"/>
    <w:rsid w:val="006D599B"/>
    <w:rsid w:val="006F04CB"/>
    <w:rsid w:val="007521D4"/>
    <w:rsid w:val="007A6111"/>
    <w:rsid w:val="007D2EE4"/>
    <w:rsid w:val="00803C97"/>
    <w:rsid w:val="008116AA"/>
    <w:rsid w:val="0081176A"/>
    <w:rsid w:val="00812F5F"/>
    <w:rsid w:val="0081591F"/>
    <w:rsid w:val="00845CAE"/>
    <w:rsid w:val="008838E3"/>
    <w:rsid w:val="00886CC3"/>
    <w:rsid w:val="0089701F"/>
    <w:rsid w:val="00897B82"/>
    <w:rsid w:val="008F3B92"/>
    <w:rsid w:val="00925520"/>
    <w:rsid w:val="0094081B"/>
    <w:rsid w:val="009455EC"/>
    <w:rsid w:val="00952F55"/>
    <w:rsid w:val="009576F3"/>
    <w:rsid w:val="00993059"/>
    <w:rsid w:val="00A13E57"/>
    <w:rsid w:val="00A14382"/>
    <w:rsid w:val="00A231F2"/>
    <w:rsid w:val="00A3472E"/>
    <w:rsid w:val="00A432D4"/>
    <w:rsid w:val="00A552CF"/>
    <w:rsid w:val="00A9428A"/>
    <w:rsid w:val="00AC2B22"/>
    <w:rsid w:val="00B146F9"/>
    <w:rsid w:val="00B168EE"/>
    <w:rsid w:val="00B22DD8"/>
    <w:rsid w:val="00B51567"/>
    <w:rsid w:val="00BB3376"/>
    <w:rsid w:val="00BB43B0"/>
    <w:rsid w:val="00BC66EE"/>
    <w:rsid w:val="00BD2148"/>
    <w:rsid w:val="00BF6240"/>
    <w:rsid w:val="00C115DD"/>
    <w:rsid w:val="00C1220A"/>
    <w:rsid w:val="00C14671"/>
    <w:rsid w:val="00C501EE"/>
    <w:rsid w:val="00C6030F"/>
    <w:rsid w:val="00D133E5"/>
    <w:rsid w:val="00D170FE"/>
    <w:rsid w:val="00D247F0"/>
    <w:rsid w:val="00D5681D"/>
    <w:rsid w:val="00D75694"/>
    <w:rsid w:val="00D8116E"/>
    <w:rsid w:val="00D8413A"/>
    <w:rsid w:val="00D845E4"/>
    <w:rsid w:val="00DA5841"/>
    <w:rsid w:val="00E1272B"/>
    <w:rsid w:val="00E22406"/>
    <w:rsid w:val="00E61D33"/>
    <w:rsid w:val="00E7290B"/>
    <w:rsid w:val="00E86D96"/>
    <w:rsid w:val="00E93338"/>
    <w:rsid w:val="00EC105E"/>
    <w:rsid w:val="00EC567B"/>
    <w:rsid w:val="00EF13E0"/>
    <w:rsid w:val="00EF7A80"/>
    <w:rsid w:val="00F22538"/>
    <w:rsid w:val="00F32DAE"/>
    <w:rsid w:val="00F415D8"/>
    <w:rsid w:val="00F43723"/>
    <w:rsid w:val="00F44BB0"/>
    <w:rsid w:val="00F52E11"/>
    <w:rsid w:val="00F7248E"/>
    <w:rsid w:val="00FD285B"/>
    <w:rsid w:val="00FD2DBA"/>
    <w:rsid w:val="02527050"/>
    <w:rsid w:val="066C129D"/>
    <w:rsid w:val="09A913AE"/>
    <w:rsid w:val="09CB6160"/>
    <w:rsid w:val="14A34B11"/>
    <w:rsid w:val="161F2CE1"/>
    <w:rsid w:val="1BDF4957"/>
    <w:rsid w:val="216662DD"/>
    <w:rsid w:val="238606E2"/>
    <w:rsid w:val="25070251"/>
    <w:rsid w:val="262E708A"/>
    <w:rsid w:val="26C812E9"/>
    <w:rsid w:val="2B3D3AFE"/>
    <w:rsid w:val="2D9A57C5"/>
    <w:rsid w:val="3A713A4D"/>
    <w:rsid w:val="3B0D3BD0"/>
    <w:rsid w:val="3B5800D3"/>
    <w:rsid w:val="3BEC1431"/>
    <w:rsid w:val="3D5033AD"/>
    <w:rsid w:val="42BE5EA5"/>
    <w:rsid w:val="4BF12B77"/>
    <w:rsid w:val="4DAD5535"/>
    <w:rsid w:val="50A523FF"/>
    <w:rsid w:val="51E92220"/>
    <w:rsid w:val="57D05CD5"/>
    <w:rsid w:val="585506FB"/>
    <w:rsid w:val="5CD00B67"/>
    <w:rsid w:val="6249067D"/>
    <w:rsid w:val="646D1802"/>
    <w:rsid w:val="6E394190"/>
    <w:rsid w:val="6E7B3C3C"/>
    <w:rsid w:val="71413119"/>
    <w:rsid w:val="716F5A6A"/>
    <w:rsid w:val="7B9E4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7"/>
    <w:unhideWhenUsed/>
    <w:qFormat/>
    <w:uiPriority w:val="0"/>
    <w:pPr>
      <w:ind w:firstLine="420" w:firstLineChars="200"/>
    </w:pPr>
  </w:style>
  <w:style w:type="paragraph" w:styleId="3">
    <w:name w:val="Body Text Indent"/>
    <w:basedOn w:val="1"/>
    <w:link w:val="16"/>
    <w:semiHidden/>
    <w:unhideWhenUsed/>
    <w:qFormat/>
    <w:uiPriority w:val="99"/>
    <w:pPr>
      <w:spacing w:after="120"/>
      <w:ind w:left="420" w:leftChars="200"/>
    </w:pPr>
  </w:style>
  <w:style w:type="paragraph" w:styleId="4">
    <w:name w:val="annotation text"/>
    <w:basedOn w:val="1"/>
    <w:link w:val="20"/>
    <w:unhideWhenUsed/>
    <w:qFormat/>
    <w:uiPriority w:val="99"/>
    <w:pPr>
      <w:jc w:val="left"/>
    </w:pPr>
  </w:style>
  <w:style w:type="paragraph" w:styleId="5">
    <w:name w:val="Body Text Indent 2"/>
    <w:basedOn w:val="1"/>
    <w:link w:val="18"/>
    <w:semiHidden/>
    <w:unhideWhenUsed/>
    <w:qFormat/>
    <w:uiPriority w:val="0"/>
    <w:pPr>
      <w:spacing w:line="360" w:lineRule="auto"/>
      <w:ind w:firstLine="560" w:firstLineChars="200"/>
    </w:pPr>
    <w:rPr>
      <w:rFonts w:ascii="宋体" w:hAnsi="宋体"/>
      <w:sz w:val="2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annotation subject"/>
    <w:basedOn w:val="4"/>
    <w:next w:val="4"/>
    <w:link w:val="21"/>
    <w:semiHidden/>
    <w:unhideWhenUsed/>
    <w:qFormat/>
    <w:uiPriority w:val="99"/>
    <w:rPr>
      <w:b/>
      <w:bCs/>
    </w:rPr>
  </w:style>
  <w:style w:type="table" w:styleId="10">
    <w:name w:val="Table Grid"/>
    <w:basedOn w:val="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正文文本缩进 字符"/>
    <w:basedOn w:val="11"/>
    <w:link w:val="3"/>
    <w:semiHidden/>
    <w:qFormat/>
    <w:uiPriority w:val="99"/>
    <w:rPr>
      <w:rFonts w:ascii="Calibri" w:hAnsi="Calibri" w:eastAsia="宋体" w:cs="Times New Roman"/>
    </w:rPr>
  </w:style>
  <w:style w:type="character" w:customStyle="1" w:styleId="17">
    <w:name w:val="正文文本首行缩进 2 字符"/>
    <w:basedOn w:val="16"/>
    <w:link w:val="2"/>
    <w:qFormat/>
    <w:uiPriority w:val="0"/>
    <w:rPr>
      <w:rFonts w:ascii="Calibri" w:hAnsi="Calibri" w:eastAsia="宋体" w:cs="Times New Roman"/>
    </w:rPr>
  </w:style>
  <w:style w:type="character" w:customStyle="1" w:styleId="18">
    <w:name w:val="正文文本缩进 2 字符"/>
    <w:basedOn w:val="11"/>
    <w:link w:val="5"/>
    <w:semiHidden/>
    <w:qFormat/>
    <w:uiPriority w:val="0"/>
    <w:rPr>
      <w:rFonts w:ascii="宋体" w:hAnsi="宋体" w:eastAsia="宋体" w:cs="Times New Roman"/>
      <w:sz w:val="28"/>
    </w:rPr>
  </w:style>
  <w:style w:type="paragraph" w:customStyle="1" w:styleId="19">
    <w:name w:val="列出段落1"/>
    <w:basedOn w:val="1"/>
    <w:qFormat/>
    <w:uiPriority w:val="34"/>
    <w:pPr>
      <w:ind w:firstLine="420" w:firstLineChars="200"/>
    </w:pPr>
    <w:rPr>
      <w:rFonts w:ascii="Times New Roman" w:hAnsi="Times New Roman"/>
      <w:szCs w:val="24"/>
    </w:rPr>
  </w:style>
  <w:style w:type="character" w:customStyle="1" w:styleId="20">
    <w:name w:val="批注文字 字符"/>
    <w:basedOn w:val="11"/>
    <w:link w:val="4"/>
    <w:qFormat/>
    <w:uiPriority w:val="99"/>
    <w:rPr>
      <w:rFonts w:ascii="Calibri" w:hAnsi="Calibri" w:eastAsia="宋体" w:cs="Times New Roman"/>
      <w:kern w:val="2"/>
      <w:sz w:val="21"/>
      <w:szCs w:val="22"/>
    </w:rPr>
  </w:style>
  <w:style w:type="character" w:customStyle="1" w:styleId="21">
    <w:name w:val="批注主题 字符"/>
    <w:basedOn w:val="20"/>
    <w:link w:val="8"/>
    <w:semiHidden/>
    <w:qFormat/>
    <w:uiPriority w:val="99"/>
    <w:rPr>
      <w:rFonts w:ascii="Calibri" w:hAnsi="Calibri" w:eastAsia="宋体" w:cs="Times New Roman"/>
      <w:b/>
      <w:bCs/>
      <w:kern w:val="2"/>
      <w:sz w:val="21"/>
      <w:szCs w:val="22"/>
    </w:rPr>
  </w:style>
  <w:style w:type="paragraph" w:customStyle="1" w:styleId="22">
    <w:name w:val="表格文字"/>
    <w:basedOn w:val="1"/>
    <w:qFormat/>
    <w:uiPriority w:val="0"/>
    <w:pPr>
      <w:adjustRightInd w:val="0"/>
      <w:spacing w:line="420" w:lineRule="atLeast"/>
      <w:jc w:val="left"/>
      <w:textAlignment w:val="baseline"/>
    </w:pPr>
    <w:rPr>
      <w:rFonts w:asciiTheme="minorHAnsi" w:hAnsiTheme="minorHAnsi" w:eastAsiaTheme="minorEastAsia" w:cstheme="minorBidi"/>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457</Words>
  <Characters>2606</Characters>
  <Lines>21</Lines>
  <Paragraphs>6</Paragraphs>
  <TotalTime>3821</TotalTime>
  <ScaleCrop>false</ScaleCrop>
  <LinksUpToDate>false</LinksUpToDate>
  <CharactersWithSpaces>3057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2022-03-22T07:23:00Z</dcterms:created>
  <dc:creator>贞贞 王</dc:creator>
  <cp:lastModifiedBy>036默卿卿</cp:lastModifiedBy>
  <cp:lastPrinted>2022-12-01T01:30:00Z</cp:lastPrinted>
  <dcterms:modified xsi:type="dcterms:W3CDTF">2023-03-08T11:40:26Z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EB7FE04A557C42A586F1CA2401C0AAE1</vt:lpwstr>
  </property>
</Properties>
</file>