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1" w:lineRule="exact"/>
        <w:sectPr>
          <w:headerReference r:id="rId7" w:type="first"/>
          <w:footerReference r:id="rId10" w:type="first"/>
          <w:headerReference r:id="rId5" w:type="default"/>
          <w:footerReference r:id="rId8" w:type="default"/>
          <w:headerReference r:id="rId6" w:type="even"/>
          <w:footerReference r:id="rId9" w:type="even"/>
          <w:pgSz w:w="11900" w:h="16840"/>
          <w:pgMar w:top="1739" w:right="1702" w:bottom="1659" w:left="1853" w:header="0" w:footer="3" w:gutter="0"/>
          <w:pgNumType w:start="1"/>
          <w:cols w:space="720" w:num="1"/>
          <w:titlePg/>
          <w:docGrid w:linePitch="360" w:charSpace="0"/>
        </w:sectPr>
      </w:pPr>
    </w:p>
    <w:p>
      <w:pPr>
        <w:pStyle w:val="13"/>
        <w:keepNext/>
        <w:keepLines/>
      </w:pPr>
      <w:bookmarkStart w:id="0" w:name="bookmark2"/>
      <w:bookmarkStart w:id="1" w:name="bookmark0"/>
      <w:bookmarkStart w:id="2" w:name="bookmark1"/>
      <w:r>
        <w:t>《</w:t>
      </w:r>
      <w:r>
        <w:rPr>
          <w:rFonts w:hint="eastAsia"/>
          <w:lang w:val="en-US" w:eastAsia="zh-CN"/>
        </w:rPr>
        <w:t>启润轮胎（日照）清洁热力供应及智慧能源服务</w:t>
      </w:r>
      <w:r>
        <w:t>》</w:t>
      </w:r>
      <w:r>
        <w:br w:type="textWrapping"/>
      </w:r>
      <w:r>
        <w:t>招标文件</w:t>
      </w:r>
      <w:bookmarkEnd w:id="0"/>
      <w:bookmarkEnd w:id="1"/>
      <w:bookmarkEnd w:id="2"/>
    </w:p>
    <w:p>
      <w:pPr>
        <w:pStyle w:val="15"/>
        <w:rPr>
          <w:sz w:val="30"/>
          <w:szCs w:val="30"/>
          <w:lang w:eastAsia="zh-CN"/>
        </w:rPr>
      </w:pPr>
      <w:r>
        <w:rPr>
          <w:rFonts w:ascii="宋体" w:hAnsi="宋体" w:eastAsia="宋体" w:cs="宋体"/>
          <w:b w:val="0"/>
          <w:bCs w:val="0"/>
          <w:sz w:val="32"/>
          <w:szCs w:val="32"/>
          <w:lang w:val="zh-TW" w:eastAsia="zh-TW" w:bidi="zh-TW"/>
        </w:rPr>
        <w:t>(编号：</w:t>
      </w:r>
      <w:r>
        <w:rPr>
          <w:lang w:eastAsia="zh-CN"/>
        </w:rPr>
        <w:t>GMGYL-202</w:t>
      </w:r>
      <w:r>
        <w:rPr>
          <w:rFonts w:hint="eastAsia" w:eastAsia="宋体"/>
          <w:lang w:eastAsia="zh-CN"/>
        </w:rPr>
        <w:t>2</w:t>
      </w:r>
      <w:r>
        <w:rPr>
          <w:lang w:eastAsia="zh-CN"/>
        </w:rPr>
        <w:t>0</w:t>
      </w:r>
      <w:r>
        <w:rPr>
          <w:rFonts w:hint="eastAsia" w:eastAsia="宋体"/>
          <w:lang w:eastAsia="zh-CN"/>
        </w:rPr>
        <w:t>5</w:t>
      </w:r>
      <w:r>
        <w:rPr>
          <w:rFonts w:ascii="宋体" w:hAnsi="宋体" w:eastAsia="宋体" w:cs="宋体"/>
          <w:sz w:val="30"/>
          <w:szCs w:val="30"/>
          <w:lang w:eastAsia="zh-CN"/>
        </w:rPr>
        <w:t>)</w:t>
      </w:r>
    </w:p>
    <w:p>
      <w:pPr>
        <w:pStyle w:val="17"/>
        <w:keepNext/>
        <w:keepLines/>
      </w:pPr>
      <w:bookmarkStart w:id="3" w:name="bookmark5"/>
      <w:bookmarkStart w:id="4" w:name="bookmark3"/>
      <w:bookmarkStart w:id="5" w:name="bookmark4"/>
      <w:r>
        <w:t>第一章投标须知</w:t>
      </w:r>
      <w:bookmarkEnd w:id="3"/>
      <w:bookmarkEnd w:id="4"/>
      <w:bookmarkEnd w:id="5"/>
    </w:p>
    <w:p>
      <w:pPr>
        <w:spacing w:line="1" w:lineRule="exact"/>
        <w:rPr>
          <w:lang w:eastAsia="zh-CN"/>
        </w:rPr>
        <w:sectPr>
          <w:type w:val="continuous"/>
          <w:pgSz w:w="11900" w:h="16840"/>
          <w:pgMar w:top="1739" w:right="1702" w:bottom="1659" w:left="1853" w:header="0" w:footer="3" w:gutter="0"/>
          <w:cols w:space="720" w:num="1"/>
          <w:docGrid w:linePitch="360" w:charSpace="0"/>
        </w:sectPr>
      </w:pPr>
    </w:p>
    <w:p>
      <w:pPr>
        <w:spacing w:line="190" w:lineRule="exact"/>
        <w:rPr>
          <w:sz w:val="15"/>
          <w:szCs w:val="15"/>
          <w:lang w:eastAsia="zh-CN"/>
        </w:rPr>
      </w:pPr>
    </w:p>
    <w:p>
      <w:pPr>
        <w:spacing w:line="1" w:lineRule="exact"/>
        <w:rPr>
          <w:lang w:eastAsia="zh-CN"/>
        </w:rPr>
        <w:sectPr>
          <w:type w:val="continuous"/>
          <w:pgSz w:w="11900" w:h="16840"/>
          <w:pgMar w:top="1329" w:right="0" w:bottom="1673" w:left="0" w:header="0" w:footer="3" w:gutter="0"/>
          <w:cols w:space="720" w:num="1"/>
          <w:docGrid w:linePitch="360" w:charSpace="0"/>
        </w:sectPr>
      </w:pP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1.项目概况</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1.1招标人：启润轮胎（日照）有限公司</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1.2招标人地址：山东省日照市五莲县高泽街道七宝山村</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1.3招标项目名称：</w:t>
      </w:r>
      <w:r>
        <w:rPr>
          <w:rFonts w:hint="eastAsia"/>
          <w:sz w:val="28"/>
          <w:szCs w:val="28"/>
          <w:lang w:val="en-US" w:eastAsia="zh-CN" w:bidi="en-US"/>
        </w:rPr>
        <w:t>启润轮胎（日照）清洁热力供应及智慧能源服务</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1.4招标项目内容：此次</w:t>
      </w:r>
      <w:r>
        <w:rPr>
          <w:rFonts w:hint="eastAsia"/>
          <w:sz w:val="28"/>
          <w:szCs w:val="28"/>
          <w:lang w:val="en-US" w:eastAsia="zh-CN" w:bidi="en-US"/>
        </w:rPr>
        <w:t>启润轮胎（日照）有限公司清洁热力供应及智慧能源服务</w:t>
      </w:r>
      <w:r>
        <w:rPr>
          <w:sz w:val="28"/>
          <w:szCs w:val="28"/>
          <w:lang w:val="en-US" w:eastAsia="zh-CN" w:bidi="en-US"/>
        </w:rPr>
        <w:t>购买招标的目的是通过招标寻求能够最佳满足</w:t>
      </w:r>
      <w:r>
        <w:rPr>
          <w:rFonts w:hint="eastAsia"/>
          <w:sz w:val="28"/>
          <w:szCs w:val="28"/>
          <w:lang w:val="en-US" w:eastAsia="zh-CN" w:bidi="en-US"/>
        </w:rPr>
        <w:t>启润轮胎（日照）有限公司生产经营需求清洁热力供应及智慧能源方案及服务</w:t>
      </w:r>
      <w:r>
        <w:rPr>
          <w:sz w:val="28"/>
          <w:szCs w:val="28"/>
          <w:lang w:val="en-US" w:eastAsia="zh-CN" w:bidi="en-US"/>
        </w:rPr>
        <w:t>，并保证</w:t>
      </w:r>
      <w:r>
        <w:rPr>
          <w:rFonts w:hint="eastAsia"/>
          <w:sz w:val="28"/>
          <w:szCs w:val="28"/>
          <w:lang w:val="en-US" w:eastAsia="zh-CN" w:bidi="en-US"/>
        </w:rPr>
        <w:t>提供热力系统可靠、稳定、安全、经济。</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最终被选定的中标人将与招标人就具体工作范围、价格及其他细节在招标人规定的时间内签订合作协议书。</w:t>
      </w:r>
    </w:p>
    <w:p>
      <w:pPr>
        <w:pStyle w:val="11"/>
        <w:spacing w:after="0" w:line="540" w:lineRule="exact"/>
        <w:ind w:firstLine="0"/>
        <w:jc w:val="both"/>
        <w:rPr>
          <w:sz w:val="28"/>
          <w:szCs w:val="28"/>
          <w:lang w:val="en-US" w:eastAsia="zh-CN" w:bidi="en-US"/>
        </w:rPr>
      </w:pPr>
      <w:bookmarkStart w:id="6" w:name="bookmark6"/>
      <w:bookmarkEnd w:id="6"/>
      <w:r>
        <w:rPr>
          <w:rFonts w:hint="eastAsia"/>
          <w:sz w:val="28"/>
          <w:szCs w:val="28"/>
          <w:lang w:val="en-US" w:eastAsia="zh-CN" w:bidi="en-US"/>
        </w:rPr>
        <w:t xml:space="preserve">    （1）</w:t>
      </w:r>
      <w:r>
        <w:rPr>
          <w:sz w:val="28"/>
          <w:szCs w:val="28"/>
          <w:lang w:val="en-US" w:eastAsia="zh-CN" w:bidi="en-US"/>
        </w:rPr>
        <w:t>招标项目要求：</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详见附件一：招标项目要求</w:t>
      </w:r>
    </w:p>
    <w:p>
      <w:pPr>
        <w:pStyle w:val="11"/>
        <w:spacing w:after="0" w:line="540" w:lineRule="exact"/>
        <w:ind w:firstLine="560" w:firstLineChars="200"/>
        <w:jc w:val="both"/>
        <w:rPr>
          <w:sz w:val="28"/>
          <w:szCs w:val="28"/>
          <w:lang w:val="en-US" w:eastAsia="zh-CN" w:bidi="en-US"/>
        </w:rPr>
      </w:pPr>
      <w:bookmarkStart w:id="7" w:name="bookmark7"/>
      <w:r>
        <w:rPr>
          <w:sz w:val="28"/>
          <w:szCs w:val="28"/>
          <w:lang w:val="en-US" w:eastAsia="zh-CN" w:bidi="en-US"/>
        </w:rPr>
        <w:t>（</w:t>
      </w:r>
      <w:bookmarkEnd w:id="7"/>
      <w:r>
        <w:rPr>
          <w:sz w:val="28"/>
          <w:szCs w:val="28"/>
          <w:lang w:val="en-US" w:eastAsia="zh-CN" w:bidi="en-US"/>
        </w:rPr>
        <w:t>2）投标人</w:t>
      </w:r>
      <w:r>
        <w:rPr>
          <w:rFonts w:hint="eastAsia"/>
          <w:sz w:val="28"/>
          <w:szCs w:val="28"/>
          <w:lang w:val="en-US" w:eastAsia="zh-CN" w:bidi="en-US"/>
        </w:rPr>
        <w:t>热力供应</w:t>
      </w:r>
      <w:r>
        <w:rPr>
          <w:sz w:val="28"/>
          <w:szCs w:val="28"/>
          <w:lang w:val="en-US" w:eastAsia="zh-CN" w:bidi="en-US"/>
        </w:rPr>
        <w:t>投标金额不超过</w:t>
      </w:r>
      <w:r>
        <w:rPr>
          <w:rFonts w:hint="eastAsia"/>
          <w:sz w:val="28"/>
          <w:szCs w:val="28"/>
          <w:lang w:val="en-US" w:eastAsia="zh-CN" w:bidi="en-US"/>
        </w:rPr>
        <w:t>295元/吨</w:t>
      </w:r>
      <w:r>
        <w:rPr>
          <w:sz w:val="28"/>
          <w:szCs w:val="28"/>
          <w:lang w:val="en-US" w:eastAsia="zh-CN" w:bidi="en-US"/>
        </w:rPr>
        <w:t>。</w:t>
      </w:r>
    </w:p>
    <w:p>
      <w:pPr>
        <w:pStyle w:val="11"/>
        <w:spacing w:after="0" w:line="540" w:lineRule="exact"/>
        <w:ind w:firstLine="560" w:firstLineChars="200"/>
        <w:jc w:val="both"/>
        <w:rPr>
          <w:sz w:val="28"/>
          <w:szCs w:val="28"/>
          <w:lang w:val="en-US" w:eastAsia="zh-CN" w:bidi="en-US"/>
        </w:rPr>
      </w:pPr>
      <w:bookmarkStart w:id="8" w:name="bookmark8"/>
      <w:bookmarkEnd w:id="8"/>
      <w:r>
        <w:rPr>
          <w:rFonts w:hint="eastAsia"/>
          <w:sz w:val="28"/>
          <w:szCs w:val="28"/>
          <w:lang w:val="en-US" w:eastAsia="zh-CN" w:bidi="en-US"/>
        </w:rPr>
        <w:t>2.</w:t>
      </w:r>
      <w:r>
        <w:rPr>
          <w:sz w:val="28"/>
          <w:szCs w:val="28"/>
          <w:lang w:val="en-US" w:eastAsia="zh-CN" w:bidi="en-US"/>
        </w:rPr>
        <w:t>招标工作安排</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2.1招标方式：</w:t>
      </w:r>
      <w:r>
        <w:rPr>
          <w:rFonts w:hint="eastAsia"/>
          <w:sz w:val="28"/>
          <w:szCs w:val="28"/>
          <w:lang w:val="en-US" w:eastAsia="zh-CN" w:bidi="en-US"/>
        </w:rPr>
        <w:t>公开</w:t>
      </w:r>
      <w:r>
        <w:rPr>
          <w:sz w:val="28"/>
          <w:szCs w:val="28"/>
          <w:lang w:val="en-US" w:eastAsia="zh-CN" w:bidi="en-US"/>
        </w:rPr>
        <w:t>招标。</w:t>
      </w:r>
    </w:p>
    <w:p>
      <w:pPr>
        <w:pStyle w:val="11"/>
        <w:spacing w:after="0" w:line="540" w:lineRule="exact"/>
        <w:ind w:firstLine="560" w:firstLineChars="200"/>
        <w:jc w:val="both"/>
        <w:rPr>
          <w:sz w:val="28"/>
          <w:szCs w:val="28"/>
          <w:lang w:val="en-US" w:eastAsia="zh-CN" w:bidi="en-US"/>
        </w:rPr>
      </w:pPr>
      <w:bookmarkStart w:id="9" w:name="bookmark9"/>
      <w:bookmarkEnd w:id="9"/>
      <w:r>
        <w:rPr>
          <w:rFonts w:hint="eastAsia"/>
          <w:sz w:val="28"/>
          <w:szCs w:val="28"/>
          <w:lang w:val="en-US" w:eastAsia="zh-CN" w:bidi="en-US"/>
        </w:rPr>
        <w:t>2.2</w:t>
      </w:r>
      <w:r>
        <w:rPr>
          <w:sz w:val="28"/>
          <w:szCs w:val="28"/>
          <w:lang w:val="en-US" w:eastAsia="zh-CN" w:bidi="en-US"/>
        </w:rPr>
        <w:t>招标文件领取时间：</w:t>
      </w:r>
    </w:p>
    <w:p>
      <w:pPr>
        <w:pStyle w:val="11"/>
        <w:spacing w:after="0" w:line="540" w:lineRule="exact"/>
        <w:ind w:left="557" w:leftChars="232" w:firstLine="0"/>
        <w:jc w:val="both"/>
        <w:rPr>
          <w:sz w:val="28"/>
          <w:szCs w:val="28"/>
          <w:highlight w:val="yellow"/>
          <w:lang w:val="en-US" w:eastAsia="zh-CN" w:bidi="en-US"/>
        </w:rPr>
      </w:pPr>
      <w:r>
        <w:rPr>
          <w:sz w:val="28"/>
          <w:szCs w:val="28"/>
          <w:highlight w:val="yellow"/>
          <w:lang w:val="en-US" w:eastAsia="zh-CN" w:bidi="en-US"/>
        </w:rPr>
        <w:t>时间：2022年5月</w:t>
      </w:r>
      <w:r>
        <w:rPr>
          <w:rFonts w:hint="eastAsia"/>
          <w:sz w:val="28"/>
          <w:szCs w:val="28"/>
          <w:highlight w:val="yellow"/>
          <w:lang w:val="en-US" w:eastAsia="zh-CN" w:bidi="en-US"/>
        </w:rPr>
        <w:t>19</w:t>
      </w:r>
      <w:r>
        <w:rPr>
          <w:sz w:val="28"/>
          <w:szCs w:val="28"/>
          <w:highlight w:val="yellow"/>
          <w:lang w:val="en-US" w:eastAsia="zh-CN" w:bidi="en-US"/>
        </w:rPr>
        <w:t>日至5月</w:t>
      </w:r>
      <w:r>
        <w:rPr>
          <w:rFonts w:hint="eastAsia"/>
          <w:sz w:val="28"/>
          <w:szCs w:val="28"/>
          <w:highlight w:val="yellow"/>
          <w:lang w:val="en-US" w:eastAsia="zh-CN" w:bidi="en-US"/>
        </w:rPr>
        <w:t>23</w:t>
      </w:r>
      <w:r>
        <w:rPr>
          <w:sz w:val="28"/>
          <w:szCs w:val="28"/>
          <w:highlight w:val="yellow"/>
          <w:lang w:val="en-US" w:eastAsia="zh-CN" w:bidi="en-US"/>
        </w:rPr>
        <w:t>日（工作日），上午9:30至11:30,下午3:00至5:00</w:t>
      </w:r>
      <w:r>
        <w:rPr>
          <w:rFonts w:hint="eastAsia"/>
          <w:sz w:val="28"/>
          <w:szCs w:val="28"/>
          <w:highlight w:val="yellow"/>
          <w:lang w:val="en-US" w:eastAsia="zh-CN" w:bidi="en-US"/>
        </w:rPr>
        <w:t>。</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地点：</w:t>
      </w:r>
      <w:r>
        <w:rPr>
          <w:rFonts w:hint="eastAsia"/>
          <w:sz w:val="28"/>
          <w:szCs w:val="28"/>
          <w:lang w:val="en-US" w:eastAsia="zh-CN" w:bidi="en-US"/>
        </w:rPr>
        <w:t>山东省日照市五莲县高泽街道七宝山村启润轮胎（日照）有限公司办公室或者在http://www.itg.com.cn/上自行下载。</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联系人：</w:t>
      </w:r>
      <w:r>
        <w:rPr>
          <w:rFonts w:hint="eastAsia"/>
          <w:sz w:val="28"/>
          <w:szCs w:val="28"/>
          <w:lang w:val="en-US" w:eastAsia="zh-CN" w:bidi="en-US"/>
        </w:rPr>
        <w:t>陈宣友</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联系电话：</w:t>
      </w:r>
      <w:r>
        <w:rPr>
          <w:rFonts w:hint="eastAsia"/>
          <w:sz w:val="28"/>
          <w:szCs w:val="28"/>
          <w:lang w:val="en-US" w:eastAsia="zh-CN" w:bidi="en-US"/>
        </w:rPr>
        <w:t>18796285016</w:t>
      </w:r>
    </w:p>
    <w:p>
      <w:pPr>
        <w:pStyle w:val="11"/>
        <w:spacing w:after="0" w:line="540" w:lineRule="exact"/>
        <w:ind w:firstLine="560" w:firstLineChars="200"/>
        <w:jc w:val="both"/>
        <w:rPr>
          <w:sz w:val="28"/>
          <w:szCs w:val="28"/>
          <w:lang w:val="en-US" w:eastAsia="zh-CN" w:bidi="en-US"/>
        </w:rPr>
      </w:pPr>
      <w:bookmarkStart w:id="10" w:name="bookmark10"/>
      <w:bookmarkEnd w:id="10"/>
      <w:r>
        <w:rPr>
          <w:rFonts w:hint="eastAsia"/>
          <w:sz w:val="28"/>
          <w:szCs w:val="28"/>
          <w:lang w:val="en-US" w:eastAsia="zh-CN" w:bidi="en-US"/>
        </w:rPr>
        <w:t>3.</w:t>
      </w:r>
      <w:r>
        <w:rPr>
          <w:sz w:val="28"/>
          <w:szCs w:val="28"/>
          <w:lang w:val="en-US" w:eastAsia="zh-CN" w:bidi="en-US"/>
        </w:rPr>
        <w:t>招标文件</w:t>
      </w:r>
    </w:p>
    <w:p>
      <w:pPr>
        <w:pStyle w:val="11"/>
        <w:spacing w:after="0" w:line="540" w:lineRule="exact"/>
        <w:ind w:firstLine="560" w:firstLineChars="200"/>
        <w:jc w:val="both"/>
        <w:rPr>
          <w:sz w:val="28"/>
          <w:szCs w:val="28"/>
          <w:lang w:val="en-US" w:eastAsia="zh-CN" w:bidi="en-US"/>
        </w:rPr>
      </w:pPr>
      <w:bookmarkStart w:id="11" w:name="bookmark11"/>
      <w:bookmarkEnd w:id="11"/>
      <w:r>
        <w:rPr>
          <w:rFonts w:hint="eastAsia"/>
          <w:sz w:val="28"/>
          <w:szCs w:val="28"/>
          <w:lang w:val="en-US" w:eastAsia="zh-CN" w:bidi="en-US"/>
        </w:rPr>
        <w:t>3.1</w:t>
      </w:r>
      <w:r>
        <w:rPr>
          <w:sz w:val="28"/>
          <w:szCs w:val="28"/>
          <w:lang w:val="en-US" w:eastAsia="zh-CN" w:bidi="en-US"/>
        </w:rPr>
        <w:t>招标文件的组成：</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本招标文件及附件、答疑纪要、招标人对招标文件的修改及其它有效函件。</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3.</w:t>
      </w:r>
      <w:r>
        <w:rPr>
          <w:sz w:val="28"/>
          <w:szCs w:val="28"/>
          <w:lang w:val="zh-CN" w:eastAsia="zh-CN" w:bidi="en-US"/>
        </w:rPr>
        <w:t>2</w:t>
      </w:r>
      <w:r>
        <w:rPr>
          <w:sz w:val="28"/>
          <w:szCs w:val="28"/>
          <w:lang w:val="en-US" w:eastAsia="zh-CN" w:bidi="en-US"/>
        </w:rPr>
        <w:t>招标文件的澄清</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3.2.1投标人若认为有问题需要澄清，应于招标文件公告后5日内以书面形式向招标人提出，招标人认为有必要澄清的将以通知或公告的形式予以澄清，并作为招标文件的组成部分。投标人因对招标</w:t>
      </w:r>
      <w:r>
        <w:rPr>
          <w:rFonts w:hint="eastAsia"/>
          <w:sz w:val="28"/>
          <w:szCs w:val="28"/>
          <w:lang w:val="en-US" w:eastAsia="zh-CN" w:bidi="en-US"/>
        </w:rPr>
        <w:t>文</w:t>
      </w:r>
      <w:r>
        <w:rPr>
          <w:sz w:val="28"/>
          <w:szCs w:val="28"/>
          <w:lang w:val="en-US" w:eastAsia="zh-CN" w:bidi="en-US"/>
        </w:rPr>
        <w:t>件理解不正确或误解而单方面做出的推论、解释和结论，不属于招标人承诺，招标人概不负责。</w:t>
      </w:r>
    </w:p>
    <w:p>
      <w:pPr>
        <w:pStyle w:val="11"/>
        <w:spacing w:after="0" w:line="540" w:lineRule="exact"/>
        <w:ind w:firstLine="560" w:firstLineChars="200"/>
        <w:jc w:val="both"/>
        <w:rPr>
          <w:sz w:val="28"/>
          <w:szCs w:val="28"/>
          <w:lang w:val="en-US" w:eastAsia="zh-CN" w:bidi="en-US"/>
        </w:rPr>
      </w:pPr>
      <w:r>
        <w:rPr>
          <w:sz w:val="28"/>
          <w:szCs w:val="28"/>
          <w:highlight w:val="yellow"/>
          <w:lang w:val="en-US" w:eastAsia="zh-CN" w:bidi="en-US"/>
        </w:rPr>
        <w:t>投标人应将投标疑问传递至</w:t>
      </w:r>
      <w:r>
        <w:rPr>
          <w:rFonts w:hint="eastAsia"/>
          <w:sz w:val="28"/>
          <w:szCs w:val="28"/>
          <w:highlight w:val="yellow"/>
          <w:lang w:val="en-US" w:eastAsia="zh-CN" w:bidi="en-US"/>
        </w:rPr>
        <w:t>启润轮胎（日照）</w:t>
      </w:r>
      <w:r>
        <w:rPr>
          <w:sz w:val="28"/>
          <w:szCs w:val="28"/>
          <w:highlight w:val="yellow"/>
          <w:lang w:val="en-US" w:eastAsia="zh-CN" w:bidi="en-US"/>
        </w:rPr>
        <w:t>有限公司（</w:t>
      </w:r>
      <w:r>
        <w:rPr>
          <w:rFonts w:hint="eastAsia"/>
          <w:sz w:val="28"/>
          <w:szCs w:val="28"/>
          <w:highlight w:val="yellow"/>
          <w:lang w:val="en-US" w:eastAsia="zh-CN" w:bidi="en-US"/>
        </w:rPr>
        <w:t>地址：山东省日照市五莲县高泽街道七宝山村</w:t>
      </w:r>
      <w:r>
        <w:rPr>
          <w:sz w:val="28"/>
          <w:szCs w:val="28"/>
          <w:highlight w:val="yellow"/>
          <w:lang w:val="en-US" w:eastAsia="zh-CN" w:bidi="en-US"/>
        </w:rPr>
        <w:t>）。</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联系人：</w:t>
      </w:r>
      <w:r>
        <w:rPr>
          <w:rFonts w:hint="eastAsia"/>
          <w:sz w:val="28"/>
          <w:szCs w:val="28"/>
          <w:lang w:val="en-US" w:eastAsia="zh-CN" w:bidi="en-US"/>
        </w:rPr>
        <w:t xml:space="preserve">陈宣友 </w:t>
      </w:r>
      <w:r>
        <w:rPr>
          <w:sz w:val="28"/>
          <w:szCs w:val="28"/>
          <w:lang w:val="en-US" w:eastAsia="zh-CN" w:bidi="en-US"/>
        </w:rPr>
        <w:tab/>
      </w:r>
      <w:r>
        <w:rPr>
          <w:sz w:val="28"/>
          <w:szCs w:val="28"/>
          <w:lang w:val="en-US" w:eastAsia="zh-CN" w:bidi="en-US"/>
        </w:rPr>
        <w:t>联系电话：</w:t>
      </w:r>
      <w:r>
        <w:rPr>
          <w:rFonts w:hint="eastAsia"/>
          <w:sz w:val="28"/>
          <w:szCs w:val="28"/>
          <w:lang w:val="en-US" w:eastAsia="zh-CN" w:bidi="en-US"/>
        </w:rPr>
        <w:t>18796285016</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电子信箱：</w:t>
      </w:r>
      <w:r>
        <w:rPr>
          <w:rFonts w:hint="eastAsia"/>
          <w:sz w:val="28"/>
          <w:szCs w:val="28"/>
          <w:lang w:val="en-US" w:eastAsia="zh-CN" w:bidi="en-US"/>
        </w:rPr>
        <w:t xml:space="preserve"> </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3.2.2招标文件（合同履行阶段）中有不符合行业标准的，投标方应在投标阶段或中标实施阶段尽提醒及配合义务。如投标人（中标人）未尽义务的，造成的损失由投标人（中标人）承担。</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3.3招标文件的修改</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招标人无论出于任何原因均有权对已发岀的招标文件进行必</w:t>
      </w:r>
      <w:r>
        <w:rPr>
          <w:rFonts w:hint="eastAsia"/>
          <w:sz w:val="28"/>
          <w:szCs w:val="28"/>
          <w:lang w:val="en-US" w:eastAsia="zh-CN" w:bidi="en-US"/>
        </w:rPr>
        <w:t>要</w:t>
      </w:r>
      <w:r>
        <w:rPr>
          <w:sz w:val="28"/>
          <w:szCs w:val="28"/>
          <w:lang w:val="en-US" w:eastAsia="zh-CN" w:bidi="en-US"/>
        </w:rPr>
        <w:t>的修改。若需进行必要的修改，应在投标截止时间2天前，以书面形式送达所有合格投标人。投标人在收到该澄清文件后应于24小时内，以书面形式给予确认，如无书面确认则视作认可该修改内容为招标文件的组成部分。</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3.4投标截止时间的延迟</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在原定投标截止时间之前，如果出现特殊情况，投标截止时间需要延迟的，招标人可以书面形式通知投标人延迟后的投标截止时间。投标人须在接到招标人发出的延迟通知24小时内以书面形式予以确认；投标人也可以不予确认，若不予确认则视为放弃投标而不被没收投标保证金。</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3.5招标文件的解释：本招标文件的解释权归属招标人。</w:t>
      </w:r>
    </w:p>
    <w:p>
      <w:pPr>
        <w:pStyle w:val="11"/>
        <w:spacing w:after="0" w:line="540" w:lineRule="exact"/>
        <w:ind w:firstLine="560" w:firstLineChars="200"/>
        <w:jc w:val="both"/>
        <w:rPr>
          <w:sz w:val="28"/>
          <w:szCs w:val="28"/>
          <w:lang w:val="en-US" w:eastAsia="zh-CN" w:bidi="en-US"/>
        </w:rPr>
      </w:pPr>
      <w:bookmarkStart w:id="12" w:name="bookmark12"/>
      <w:bookmarkEnd w:id="12"/>
      <w:r>
        <w:rPr>
          <w:rFonts w:hint="eastAsia"/>
          <w:sz w:val="28"/>
          <w:szCs w:val="28"/>
          <w:lang w:val="en-US" w:eastAsia="zh-CN" w:bidi="en-US"/>
        </w:rPr>
        <w:t>4.</w:t>
      </w:r>
      <w:r>
        <w:rPr>
          <w:sz w:val="28"/>
          <w:szCs w:val="28"/>
          <w:lang w:val="en-US" w:eastAsia="zh-CN" w:bidi="en-US"/>
        </w:rPr>
        <w:t>合格的投标人</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投标人参加本项目招标活动应当具备下列条件：</w:t>
      </w:r>
    </w:p>
    <w:p>
      <w:pPr>
        <w:pStyle w:val="11"/>
        <w:spacing w:after="0" w:line="540" w:lineRule="exact"/>
        <w:ind w:firstLine="560" w:firstLineChars="200"/>
        <w:jc w:val="both"/>
        <w:rPr>
          <w:sz w:val="28"/>
          <w:szCs w:val="28"/>
          <w:lang w:val="en-US" w:eastAsia="zh-CN" w:bidi="en-US"/>
        </w:rPr>
      </w:pPr>
      <w:bookmarkStart w:id="13" w:name="bookmark13"/>
      <w:bookmarkEnd w:id="13"/>
      <w:r>
        <w:rPr>
          <w:rFonts w:hint="eastAsia"/>
          <w:sz w:val="28"/>
          <w:szCs w:val="28"/>
          <w:lang w:val="en-US" w:eastAsia="zh-CN" w:bidi="en-US"/>
        </w:rPr>
        <w:t>4.1</w:t>
      </w:r>
      <w:r>
        <w:rPr>
          <w:sz w:val="28"/>
          <w:szCs w:val="28"/>
          <w:lang w:val="en-US" w:eastAsia="zh-CN" w:bidi="en-US"/>
        </w:rPr>
        <w:t>投标人应是中华人民共和国境内具有独立法人资格的公司，注册资金不少于人民币</w:t>
      </w:r>
      <w:r>
        <w:rPr>
          <w:rFonts w:hint="eastAsia"/>
          <w:sz w:val="28"/>
          <w:szCs w:val="28"/>
          <w:lang w:val="en-US" w:eastAsia="zh-CN" w:bidi="en-US"/>
        </w:rPr>
        <w:t>30</w:t>
      </w:r>
      <w:r>
        <w:rPr>
          <w:sz w:val="28"/>
          <w:szCs w:val="28"/>
          <w:lang w:val="en-US" w:eastAsia="zh-CN" w:bidi="en-US"/>
        </w:rPr>
        <w:t>00万元(含</w:t>
      </w:r>
      <w:r>
        <w:rPr>
          <w:rFonts w:hint="eastAsia"/>
          <w:sz w:val="28"/>
          <w:szCs w:val="28"/>
          <w:lang w:val="en-US" w:eastAsia="zh-CN" w:bidi="en-US"/>
        </w:rPr>
        <w:t>3</w:t>
      </w:r>
      <w:r>
        <w:rPr>
          <w:sz w:val="28"/>
          <w:szCs w:val="28"/>
          <w:lang w:val="en-US" w:eastAsia="zh-CN" w:bidi="en-US"/>
        </w:rPr>
        <w:t>0</w:t>
      </w:r>
      <w:r>
        <w:rPr>
          <w:rFonts w:hint="eastAsia"/>
          <w:sz w:val="28"/>
          <w:szCs w:val="28"/>
          <w:lang w:val="en-US" w:eastAsia="zh-CN" w:bidi="en-US"/>
        </w:rPr>
        <w:t>0</w:t>
      </w:r>
      <w:r>
        <w:rPr>
          <w:sz w:val="28"/>
          <w:szCs w:val="28"/>
          <w:lang w:val="en-US" w:eastAsia="zh-CN" w:bidi="en-US"/>
        </w:rPr>
        <w:t>0万元)；</w:t>
      </w:r>
    </w:p>
    <w:p>
      <w:pPr>
        <w:pStyle w:val="11"/>
        <w:spacing w:after="0" w:line="540" w:lineRule="exact"/>
        <w:ind w:firstLine="560" w:firstLineChars="200"/>
        <w:jc w:val="both"/>
        <w:rPr>
          <w:sz w:val="28"/>
          <w:szCs w:val="28"/>
          <w:lang w:val="en-US" w:eastAsia="zh-CN" w:bidi="en-US"/>
        </w:rPr>
      </w:pPr>
      <w:bookmarkStart w:id="14" w:name="bookmark14"/>
      <w:bookmarkEnd w:id="14"/>
      <w:r>
        <w:rPr>
          <w:rFonts w:hint="eastAsia"/>
          <w:sz w:val="28"/>
          <w:szCs w:val="28"/>
          <w:lang w:val="en-US" w:eastAsia="zh-CN" w:bidi="en-US"/>
        </w:rPr>
        <w:t>4.2</w:t>
      </w:r>
      <w:r>
        <w:rPr>
          <w:sz w:val="28"/>
          <w:szCs w:val="28"/>
          <w:lang w:val="en-US" w:eastAsia="zh-CN" w:bidi="en-US"/>
        </w:rPr>
        <w:t>投标人具有良好的资信等级，在经营活动中没有重大违法、违纪行为。</w:t>
      </w:r>
    </w:p>
    <w:p>
      <w:pPr>
        <w:pStyle w:val="11"/>
        <w:spacing w:after="0" w:line="540" w:lineRule="exact"/>
        <w:ind w:firstLine="560" w:firstLineChars="200"/>
        <w:jc w:val="both"/>
        <w:rPr>
          <w:sz w:val="28"/>
          <w:szCs w:val="28"/>
          <w:lang w:val="en-US" w:eastAsia="zh-CN" w:bidi="en-US"/>
        </w:rPr>
      </w:pPr>
      <w:bookmarkStart w:id="15" w:name="bookmark15"/>
      <w:bookmarkEnd w:id="15"/>
      <w:r>
        <w:rPr>
          <w:rFonts w:hint="eastAsia"/>
          <w:sz w:val="28"/>
          <w:szCs w:val="28"/>
          <w:lang w:val="en-US" w:eastAsia="zh-CN" w:bidi="en-US"/>
        </w:rPr>
        <w:t>4.3</w:t>
      </w:r>
      <w:r>
        <w:rPr>
          <w:sz w:val="28"/>
          <w:szCs w:val="28"/>
          <w:lang w:val="en-US" w:eastAsia="zh-CN" w:bidi="en-US"/>
        </w:rPr>
        <w:t>投标人</w:t>
      </w:r>
      <w:r>
        <w:rPr>
          <w:rFonts w:hint="eastAsia"/>
          <w:sz w:val="28"/>
          <w:szCs w:val="28"/>
          <w:lang w:val="en-US" w:eastAsia="zh-CN" w:bidi="en-US"/>
        </w:rPr>
        <w:t>所</w:t>
      </w:r>
      <w:r>
        <w:rPr>
          <w:sz w:val="28"/>
          <w:szCs w:val="28"/>
          <w:lang w:val="en-US" w:eastAsia="zh-CN" w:bidi="en-US"/>
        </w:rPr>
        <w:t>提供的</w:t>
      </w:r>
      <w:r>
        <w:rPr>
          <w:rFonts w:hint="eastAsia"/>
          <w:sz w:val="28"/>
          <w:szCs w:val="28"/>
          <w:lang w:val="en-US" w:eastAsia="zh-CN" w:bidi="en-US"/>
        </w:rPr>
        <w:t>热力供应必须为非化石清洁能源生产，生产系统占地面积不超过1200㎡</w:t>
      </w:r>
      <w:r>
        <w:rPr>
          <w:sz w:val="28"/>
          <w:szCs w:val="28"/>
          <w:lang w:val="en-US" w:eastAsia="zh-CN" w:bidi="en-US"/>
        </w:rPr>
        <w:t>。</w:t>
      </w:r>
    </w:p>
    <w:p>
      <w:pPr>
        <w:pStyle w:val="11"/>
        <w:spacing w:after="0" w:line="540" w:lineRule="exact"/>
        <w:ind w:firstLine="560" w:firstLineChars="200"/>
        <w:jc w:val="both"/>
        <w:rPr>
          <w:sz w:val="28"/>
          <w:szCs w:val="28"/>
          <w:lang w:val="en-US" w:eastAsia="zh-CN" w:bidi="en-US"/>
        </w:rPr>
      </w:pPr>
      <w:bookmarkStart w:id="16" w:name="bookmark16"/>
      <w:bookmarkEnd w:id="16"/>
      <w:r>
        <w:rPr>
          <w:rFonts w:hint="eastAsia"/>
          <w:sz w:val="28"/>
          <w:szCs w:val="28"/>
          <w:lang w:val="en-US" w:eastAsia="zh-CN" w:bidi="en-US"/>
        </w:rPr>
        <w:t>4.4</w:t>
      </w:r>
      <w:r>
        <w:rPr>
          <w:sz w:val="28"/>
          <w:szCs w:val="28"/>
          <w:lang w:val="en-US" w:eastAsia="zh-CN" w:bidi="en-US"/>
        </w:rPr>
        <w:t>投标人</w:t>
      </w:r>
      <w:r>
        <w:rPr>
          <w:rFonts w:hint="eastAsia"/>
          <w:sz w:val="28"/>
          <w:szCs w:val="28"/>
          <w:lang w:val="en-US" w:eastAsia="zh-CN" w:bidi="en-US"/>
        </w:rPr>
        <w:t>所</w:t>
      </w:r>
      <w:r>
        <w:rPr>
          <w:sz w:val="28"/>
          <w:szCs w:val="28"/>
          <w:lang w:val="en-US" w:eastAsia="zh-CN" w:bidi="en-US"/>
        </w:rPr>
        <w:t>提供的</w:t>
      </w:r>
      <w:r>
        <w:rPr>
          <w:rFonts w:hint="eastAsia"/>
          <w:sz w:val="28"/>
          <w:szCs w:val="28"/>
          <w:lang w:val="en-US" w:eastAsia="zh-CN" w:bidi="en-US"/>
        </w:rPr>
        <w:t>热力供应的生产系统必须达到国家和项目所在地环保排放指标要求</w:t>
      </w:r>
      <w:r>
        <w:rPr>
          <w:sz w:val="28"/>
          <w:szCs w:val="28"/>
          <w:lang w:val="en-US" w:eastAsia="zh-CN" w:bidi="en-US"/>
        </w:rPr>
        <w:t>。</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4.5投标人提供的智慧能源服务软件系统为自主知识产权产品（需提供相关软件著作权证明），否则必须通过合法渠道获取（需提供相关授权证明）。</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投标人不符合上述条件的，其投标视为无效投标，不再参与后续评标</w:t>
      </w:r>
      <w:bookmarkStart w:id="17" w:name="bookmark17"/>
      <w:bookmarkEnd w:id="17"/>
      <w:r>
        <w:rPr>
          <w:rFonts w:hint="eastAsia"/>
          <w:sz w:val="28"/>
          <w:szCs w:val="28"/>
          <w:lang w:val="en-US" w:eastAsia="zh-CN" w:bidi="en-US"/>
        </w:rPr>
        <w:t>。</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5.</w:t>
      </w:r>
      <w:r>
        <w:rPr>
          <w:sz w:val="28"/>
          <w:szCs w:val="28"/>
          <w:lang w:val="en-US" w:eastAsia="zh-CN" w:bidi="en-US"/>
        </w:rPr>
        <w:t>投标。</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5.1资格证明文件</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投标资格证明文件至少应包含以下内容：</w:t>
      </w:r>
    </w:p>
    <w:p>
      <w:pPr>
        <w:pStyle w:val="11"/>
        <w:spacing w:after="0" w:line="540" w:lineRule="exact"/>
        <w:ind w:firstLine="403"/>
        <w:jc w:val="both"/>
        <w:rPr>
          <w:sz w:val="28"/>
          <w:szCs w:val="28"/>
          <w:lang w:val="en-US" w:eastAsia="zh-CN" w:bidi="en-US"/>
        </w:rPr>
      </w:pPr>
      <w:bookmarkStart w:id="18" w:name="bookmark18"/>
      <w:r>
        <w:rPr>
          <w:sz w:val="28"/>
          <w:szCs w:val="28"/>
          <w:lang w:val="en-US" w:eastAsia="zh-CN" w:bidi="en-US"/>
        </w:rPr>
        <w:t>（</w:t>
      </w:r>
      <w:bookmarkEnd w:id="18"/>
      <w:r>
        <w:rPr>
          <w:sz w:val="28"/>
          <w:szCs w:val="28"/>
          <w:lang w:val="en-US" w:eastAsia="zh-CN" w:bidi="en-US"/>
        </w:rPr>
        <w:t>1）企业简介（须附单位地址，联系人，电话，传真、邮箱等）；</w:t>
      </w:r>
    </w:p>
    <w:p>
      <w:pPr>
        <w:pStyle w:val="11"/>
        <w:spacing w:after="0" w:line="540" w:lineRule="exact"/>
        <w:ind w:firstLine="403"/>
        <w:jc w:val="both"/>
        <w:rPr>
          <w:sz w:val="28"/>
          <w:szCs w:val="28"/>
          <w:lang w:val="en-US" w:eastAsia="zh-CN" w:bidi="en-US"/>
        </w:rPr>
      </w:pPr>
      <w:bookmarkStart w:id="19" w:name="bookmark19"/>
      <w:r>
        <w:rPr>
          <w:sz w:val="28"/>
          <w:szCs w:val="28"/>
          <w:lang w:val="en-US" w:eastAsia="zh-CN" w:bidi="en-US"/>
        </w:rPr>
        <w:t>（</w:t>
      </w:r>
      <w:bookmarkEnd w:id="19"/>
      <w:r>
        <w:rPr>
          <w:sz w:val="28"/>
          <w:szCs w:val="28"/>
          <w:lang w:val="en-US" w:eastAsia="zh-CN" w:bidi="en-US"/>
        </w:rPr>
        <w:t>2）加盖公章的有效营业执照及税务登记证副本复印件；</w:t>
      </w:r>
    </w:p>
    <w:p>
      <w:pPr>
        <w:pStyle w:val="11"/>
        <w:spacing w:after="0" w:line="540" w:lineRule="exact"/>
        <w:ind w:firstLine="403"/>
        <w:jc w:val="both"/>
        <w:rPr>
          <w:sz w:val="28"/>
          <w:szCs w:val="28"/>
          <w:lang w:val="en-US" w:eastAsia="zh-CN" w:bidi="en-US"/>
        </w:rPr>
      </w:pPr>
      <w:bookmarkStart w:id="20" w:name="bookmark20"/>
      <w:r>
        <w:rPr>
          <w:sz w:val="28"/>
          <w:szCs w:val="28"/>
          <w:lang w:val="en-US" w:eastAsia="zh-CN" w:bidi="en-US"/>
        </w:rPr>
        <w:t>（</w:t>
      </w:r>
      <w:bookmarkEnd w:id="20"/>
      <w:r>
        <w:rPr>
          <w:sz w:val="28"/>
          <w:szCs w:val="28"/>
          <w:lang w:val="en-US" w:eastAsia="zh-CN" w:bidi="en-US"/>
        </w:rPr>
        <w:t>3）相关资质证书；</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以上资格证明文件原件根据招标人需要，应提供给招标人进行核对。投标人提交的投标文件不符合上述规定的，视为无效投标，不再参与后续评标。</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5.2投标文件内容</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投标文件包括以下材料：</w:t>
      </w:r>
    </w:p>
    <w:p>
      <w:pPr>
        <w:pStyle w:val="11"/>
        <w:spacing w:after="0" w:line="540" w:lineRule="exact"/>
        <w:ind w:firstLine="403"/>
        <w:jc w:val="both"/>
        <w:rPr>
          <w:sz w:val="28"/>
          <w:szCs w:val="28"/>
          <w:lang w:val="en-US" w:eastAsia="zh-CN" w:bidi="en-US"/>
        </w:rPr>
      </w:pPr>
      <w:bookmarkStart w:id="21" w:name="bookmark23"/>
      <w:r>
        <w:rPr>
          <w:sz w:val="28"/>
          <w:szCs w:val="28"/>
          <w:lang w:val="en-US" w:eastAsia="zh-CN" w:bidi="en-US"/>
        </w:rPr>
        <w:t>（</w:t>
      </w:r>
      <w:bookmarkEnd w:id="21"/>
      <w:r>
        <w:rPr>
          <w:sz w:val="28"/>
          <w:szCs w:val="28"/>
          <w:lang w:val="en-US" w:eastAsia="zh-CN" w:bidi="en-US"/>
        </w:rPr>
        <w:t>1）投标单位法定代表人委托授权书及被委托人的身份证复印件；</w:t>
      </w:r>
    </w:p>
    <w:p>
      <w:pPr>
        <w:pStyle w:val="11"/>
        <w:spacing w:after="0" w:line="540" w:lineRule="exact"/>
        <w:ind w:firstLine="403"/>
        <w:jc w:val="both"/>
        <w:rPr>
          <w:sz w:val="28"/>
          <w:szCs w:val="28"/>
          <w:lang w:val="en-US" w:eastAsia="en-US" w:bidi="en-US"/>
        </w:rPr>
      </w:pPr>
      <w:bookmarkStart w:id="22" w:name="bookmark24"/>
      <w:r>
        <w:rPr>
          <w:sz w:val="28"/>
          <w:szCs w:val="28"/>
          <w:lang w:val="en-US" w:eastAsia="en-US" w:bidi="en-US"/>
        </w:rPr>
        <w:t>（</w:t>
      </w:r>
      <w:bookmarkEnd w:id="22"/>
      <w:r>
        <w:rPr>
          <w:sz w:val="28"/>
          <w:szCs w:val="28"/>
          <w:lang w:val="en-US" w:eastAsia="en-US" w:bidi="en-US"/>
        </w:rPr>
        <w:t>2）附件一、附件二、附件三、附件四、附件五；</w:t>
      </w:r>
    </w:p>
    <w:p>
      <w:pPr>
        <w:pStyle w:val="11"/>
        <w:spacing w:after="0" w:line="540" w:lineRule="exact"/>
        <w:ind w:firstLine="403"/>
        <w:jc w:val="both"/>
        <w:rPr>
          <w:sz w:val="28"/>
          <w:szCs w:val="28"/>
          <w:lang w:val="en-US" w:eastAsia="zh-CN" w:bidi="en-US"/>
        </w:rPr>
      </w:pPr>
      <w:bookmarkStart w:id="23" w:name="bookmark25"/>
      <w:r>
        <w:rPr>
          <w:sz w:val="28"/>
          <w:szCs w:val="28"/>
          <w:lang w:val="en-US" w:eastAsia="zh-CN" w:bidi="en-US"/>
        </w:rPr>
        <w:t>（</w:t>
      </w:r>
      <w:bookmarkEnd w:id="23"/>
      <w:r>
        <w:rPr>
          <w:sz w:val="28"/>
          <w:szCs w:val="28"/>
          <w:lang w:val="en-US" w:eastAsia="zh-CN" w:bidi="en-US"/>
        </w:rPr>
        <w:t>3）5.1所述的资质证明；</w:t>
      </w:r>
    </w:p>
    <w:p>
      <w:pPr>
        <w:pStyle w:val="11"/>
        <w:spacing w:after="0" w:line="540" w:lineRule="exact"/>
        <w:ind w:firstLine="403"/>
        <w:jc w:val="both"/>
        <w:rPr>
          <w:sz w:val="28"/>
          <w:szCs w:val="28"/>
          <w:lang w:val="en-US" w:eastAsia="zh-CN" w:bidi="en-US"/>
        </w:rPr>
      </w:pPr>
      <w:bookmarkStart w:id="24" w:name="bookmark26"/>
      <w:r>
        <w:rPr>
          <w:sz w:val="28"/>
          <w:szCs w:val="28"/>
          <w:lang w:val="en-US" w:eastAsia="zh-CN" w:bidi="en-US"/>
        </w:rPr>
        <w:t>（</w:t>
      </w:r>
      <w:bookmarkEnd w:id="24"/>
      <w:r>
        <w:rPr>
          <w:sz w:val="28"/>
          <w:szCs w:val="28"/>
          <w:lang w:val="en-US" w:eastAsia="zh-CN" w:bidi="en-US"/>
        </w:rPr>
        <w:t>4）服务承诺事项等投标人认为有必要说明的其他事项。</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w:t>
      </w:r>
      <w:r>
        <w:rPr>
          <w:sz w:val="28"/>
          <w:szCs w:val="28"/>
          <w:lang w:val="zh-CN" w:eastAsia="zh-CN" w:bidi="en-US"/>
        </w:rPr>
        <w:t>3</w:t>
      </w:r>
      <w:r>
        <w:rPr>
          <w:sz w:val="28"/>
          <w:szCs w:val="28"/>
          <w:lang w:val="en-US" w:eastAsia="zh-CN" w:bidi="en-US"/>
        </w:rPr>
        <w:t>投标文件递交</w:t>
      </w:r>
    </w:p>
    <w:p>
      <w:pPr>
        <w:pStyle w:val="11"/>
        <w:spacing w:after="0" w:line="540" w:lineRule="exact"/>
        <w:ind w:firstLine="560" w:firstLineChars="200"/>
        <w:jc w:val="both"/>
        <w:rPr>
          <w:sz w:val="28"/>
          <w:szCs w:val="28"/>
          <w:highlight w:val="yellow"/>
          <w:lang w:val="en-US" w:eastAsia="zh-CN" w:bidi="en-US"/>
        </w:rPr>
      </w:pPr>
      <w:r>
        <w:rPr>
          <w:sz w:val="28"/>
          <w:szCs w:val="28"/>
          <w:highlight w:val="yellow"/>
          <w:lang w:val="en-US" w:eastAsia="zh-CN" w:bidi="en-US"/>
        </w:rPr>
        <w:t>投标人应于2022年</w:t>
      </w:r>
      <w:r>
        <w:rPr>
          <w:rFonts w:hint="eastAsia"/>
          <w:sz w:val="28"/>
          <w:szCs w:val="28"/>
          <w:highlight w:val="yellow"/>
          <w:lang w:val="en-US" w:eastAsia="zh-CN" w:bidi="en-US"/>
        </w:rPr>
        <w:t>5</w:t>
      </w:r>
      <w:r>
        <w:rPr>
          <w:sz w:val="28"/>
          <w:szCs w:val="28"/>
          <w:highlight w:val="yellow"/>
          <w:lang w:val="en-US" w:eastAsia="zh-CN" w:bidi="en-US"/>
        </w:rPr>
        <w:t>月</w:t>
      </w:r>
      <w:r>
        <w:rPr>
          <w:rFonts w:hint="eastAsia"/>
          <w:sz w:val="28"/>
          <w:szCs w:val="28"/>
          <w:highlight w:val="yellow"/>
          <w:lang w:val="en-US" w:eastAsia="zh-CN" w:bidi="en-US"/>
        </w:rPr>
        <w:t>25</w:t>
      </w:r>
      <w:r>
        <w:rPr>
          <w:sz w:val="28"/>
          <w:szCs w:val="28"/>
          <w:highlight w:val="yellow"/>
          <w:lang w:val="en-US" w:eastAsia="zh-CN" w:bidi="en-US"/>
        </w:rPr>
        <w:t>日上午9:30之前，将密封且加盖公章的材料</w:t>
      </w:r>
      <w:r>
        <w:rPr>
          <w:rFonts w:hint="eastAsia"/>
          <w:sz w:val="28"/>
          <w:szCs w:val="28"/>
          <w:highlight w:val="yellow"/>
          <w:lang w:val="en-US" w:eastAsia="zh-CN" w:bidi="en-US"/>
        </w:rPr>
        <w:t>邮寄</w:t>
      </w:r>
      <w:r>
        <w:rPr>
          <w:sz w:val="28"/>
          <w:szCs w:val="28"/>
          <w:highlight w:val="yellow"/>
          <w:lang w:val="en-US" w:eastAsia="zh-CN" w:bidi="en-US"/>
        </w:rPr>
        <w:t>至</w:t>
      </w:r>
      <w:r>
        <w:rPr>
          <w:rFonts w:hint="eastAsia"/>
          <w:sz w:val="28"/>
          <w:szCs w:val="28"/>
          <w:highlight w:val="yellow"/>
          <w:lang w:val="en-US" w:eastAsia="zh-CN" w:bidi="en-US"/>
        </w:rPr>
        <w:t>厦门市湖里区仙岳路4688号国贸中心A座21楼</w:t>
      </w:r>
    </w:p>
    <w:p>
      <w:pPr>
        <w:pStyle w:val="11"/>
        <w:spacing w:after="0" w:line="540" w:lineRule="exact"/>
        <w:ind w:firstLine="560" w:firstLineChars="200"/>
        <w:jc w:val="both"/>
        <w:rPr>
          <w:sz w:val="28"/>
          <w:szCs w:val="28"/>
          <w:highlight w:val="yellow"/>
          <w:lang w:val="en-US" w:eastAsia="zh-CN" w:bidi="en-US"/>
        </w:rPr>
      </w:pPr>
      <w:r>
        <w:rPr>
          <w:rFonts w:hint="eastAsia"/>
          <w:sz w:val="28"/>
          <w:szCs w:val="28"/>
          <w:highlight w:val="yellow"/>
          <w:lang w:val="en-US" w:eastAsia="zh-CN" w:bidi="en-US"/>
        </w:rPr>
        <w:t>收件人：陈宣友18796285016</w:t>
      </w:r>
      <w:r>
        <w:rPr>
          <w:sz w:val="28"/>
          <w:szCs w:val="28"/>
          <w:highlight w:val="yellow"/>
          <w:lang w:val="en-US" w:eastAsia="zh-CN" w:bidi="en-US"/>
        </w:rPr>
        <w:t>，逾期不收。</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5.4投标保证金</w:t>
      </w:r>
    </w:p>
    <w:p>
      <w:pPr>
        <w:pStyle w:val="11"/>
        <w:spacing w:after="0" w:line="540" w:lineRule="exact"/>
        <w:ind w:firstLine="560" w:firstLineChars="200"/>
        <w:jc w:val="both"/>
        <w:rPr>
          <w:sz w:val="28"/>
          <w:szCs w:val="28"/>
          <w:lang w:val="en-US" w:eastAsia="zh-CN" w:bidi="en-US"/>
        </w:rPr>
      </w:pPr>
      <w:bookmarkStart w:id="25" w:name="bookmark27"/>
      <w:bookmarkEnd w:id="25"/>
      <w:r>
        <w:rPr>
          <w:rFonts w:hint="eastAsia"/>
          <w:sz w:val="28"/>
          <w:szCs w:val="28"/>
          <w:lang w:val="en-US" w:eastAsia="zh-CN" w:bidi="en-US"/>
        </w:rPr>
        <w:t>5.4.1</w:t>
      </w:r>
      <w:r>
        <w:rPr>
          <w:sz w:val="28"/>
          <w:szCs w:val="28"/>
          <w:lang w:val="en-US" w:eastAsia="zh-CN" w:bidi="en-US"/>
        </w:rPr>
        <w:t>本项目投标保证金要求如下：</w:t>
      </w:r>
    </w:p>
    <w:p>
      <w:pPr>
        <w:pStyle w:val="11"/>
        <w:spacing w:after="0" w:line="540" w:lineRule="exact"/>
        <w:ind w:firstLine="560" w:firstLineChars="200"/>
        <w:jc w:val="both"/>
        <w:rPr>
          <w:sz w:val="28"/>
          <w:szCs w:val="28"/>
          <w:lang w:val="en-US" w:eastAsia="zh-CN" w:bidi="en-US"/>
        </w:rPr>
      </w:pPr>
      <w:bookmarkStart w:id="26" w:name="bookmark28"/>
      <w:bookmarkEnd w:id="26"/>
      <w:r>
        <w:rPr>
          <w:rFonts w:hint="eastAsia"/>
          <w:sz w:val="28"/>
          <w:szCs w:val="28"/>
          <w:lang w:val="en-US" w:eastAsia="zh-CN" w:bidi="en-US"/>
        </w:rPr>
        <w:t>（1）</w:t>
      </w:r>
      <w:r>
        <w:rPr>
          <w:sz w:val="28"/>
          <w:szCs w:val="28"/>
          <w:lang w:val="en-US" w:eastAsia="zh-CN" w:bidi="en-US"/>
        </w:rPr>
        <w:t>金额：人民币</w:t>
      </w:r>
      <w:r>
        <w:rPr>
          <w:rFonts w:hint="eastAsia"/>
          <w:sz w:val="28"/>
          <w:szCs w:val="28"/>
          <w:lang w:val="en-US" w:eastAsia="zh-CN" w:bidi="en-US"/>
        </w:rPr>
        <w:t>拾</w:t>
      </w:r>
      <w:r>
        <w:rPr>
          <w:sz w:val="28"/>
          <w:szCs w:val="28"/>
          <w:lang w:val="en-US" w:eastAsia="zh-CN" w:bidi="en-US"/>
        </w:rPr>
        <w:t>万元整。</w:t>
      </w:r>
    </w:p>
    <w:p>
      <w:pPr>
        <w:pStyle w:val="11"/>
        <w:spacing w:after="0" w:line="540" w:lineRule="exact"/>
        <w:ind w:firstLine="560" w:firstLineChars="200"/>
        <w:jc w:val="both"/>
        <w:rPr>
          <w:sz w:val="28"/>
          <w:szCs w:val="28"/>
          <w:lang w:val="en-US" w:eastAsia="zh-CN" w:bidi="en-US"/>
        </w:rPr>
      </w:pPr>
      <w:bookmarkStart w:id="27" w:name="bookmark29"/>
      <w:bookmarkEnd w:id="27"/>
      <w:r>
        <w:rPr>
          <w:rFonts w:hint="eastAsia"/>
          <w:sz w:val="28"/>
          <w:szCs w:val="28"/>
          <w:lang w:val="en-US" w:eastAsia="zh-CN" w:bidi="en-US"/>
        </w:rPr>
        <w:t>（2）</w:t>
      </w:r>
      <w:r>
        <w:rPr>
          <w:sz w:val="28"/>
          <w:szCs w:val="28"/>
          <w:lang w:val="en-US" w:eastAsia="zh-CN" w:bidi="en-US"/>
        </w:rPr>
        <w:t>缴交账户信息：</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户名：</w:t>
      </w:r>
      <w:r>
        <w:rPr>
          <w:rFonts w:hint="eastAsia"/>
          <w:sz w:val="28"/>
          <w:szCs w:val="28"/>
          <w:lang w:val="en-US" w:eastAsia="zh-CN" w:bidi="en-US"/>
        </w:rPr>
        <w:t>启润轮胎（日照）有限公司</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账号：</w:t>
      </w:r>
      <w:r>
        <w:rPr>
          <w:rFonts w:hint="eastAsia"/>
          <w:sz w:val="28"/>
          <w:szCs w:val="28"/>
          <w:lang w:val="en-US" w:eastAsia="zh-CN" w:bidi="en-US"/>
        </w:rPr>
        <w:t>9110111030142050000406</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开户行：</w:t>
      </w:r>
      <w:r>
        <w:rPr>
          <w:rFonts w:hint="eastAsia"/>
          <w:sz w:val="28"/>
          <w:szCs w:val="28"/>
          <w:lang w:val="en-US" w:eastAsia="zh-CN" w:bidi="en-US"/>
        </w:rPr>
        <w:t>山东五莲农村商业银行股份有限公司营业部</w:t>
      </w:r>
    </w:p>
    <w:p>
      <w:pPr>
        <w:pStyle w:val="11"/>
        <w:spacing w:after="0" w:line="540" w:lineRule="exact"/>
        <w:ind w:firstLine="560" w:firstLineChars="200"/>
        <w:jc w:val="both"/>
        <w:rPr>
          <w:sz w:val="28"/>
          <w:szCs w:val="28"/>
          <w:lang w:val="en-US" w:eastAsia="zh-CN" w:bidi="en-US"/>
        </w:rPr>
      </w:pPr>
      <w:bookmarkStart w:id="28" w:name="bookmark30"/>
      <w:bookmarkEnd w:id="28"/>
      <w:r>
        <w:rPr>
          <w:sz w:val="28"/>
          <w:szCs w:val="28"/>
          <w:lang w:val="en-US" w:eastAsia="zh-CN" w:bidi="en-US"/>
        </w:rPr>
        <w:t>缴交方式：投标保证金釆用转账形式，投标人交款时须注明</w:t>
      </w:r>
      <w:r>
        <w:rPr>
          <w:sz w:val="28"/>
          <w:szCs w:val="28"/>
          <w:lang w:val="zh-CN" w:eastAsia="zh-CN" w:bidi="en-US"/>
        </w:rPr>
        <w:t>“</w:t>
      </w:r>
      <w:r>
        <w:rPr>
          <w:rFonts w:hint="eastAsia"/>
          <w:sz w:val="28"/>
          <w:szCs w:val="28"/>
          <w:lang w:val="en-US" w:eastAsia="zh-CN" w:bidi="en-US"/>
        </w:rPr>
        <w:t>启润轮胎（日照）清洁热力供应及智慧能源服务</w:t>
      </w:r>
      <w:r>
        <w:rPr>
          <w:sz w:val="28"/>
          <w:szCs w:val="28"/>
          <w:lang w:val="en-US" w:eastAsia="zh-CN" w:bidi="en-US"/>
        </w:rPr>
        <w:t>投标保证金”。</w:t>
      </w:r>
      <w:bookmarkStart w:id="29" w:name="bookmark31"/>
      <w:bookmarkEnd w:id="29"/>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5.4.2</w:t>
      </w:r>
      <w:r>
        <w:rPr>
          <w:sz w:val="28"/>
          <w:szCs w:val="28"/>
          <w:lang w:val="en-US" w:eastAsia="zh-CN" w:bidi="en-US"/>
        </w:rPr>
        <w:t>投标人在提交《投标书》的同时，应向招标人递交投标保证金的交纳证明。未按要求缴交投标保证金的，将被视为投标无效。</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5.4.3定标后，未中标投标人的投标保证金将在中标通知书发出后五个工作日内无息退还。</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5.4.4发生下列任何一种情况时，投标人的投标保证金将被没收：</w:t>
      </w:r>
    </w:p>
    <w:p>
      <w:pPr>
        <w:pStyle w:val="11"/>
        <w:spacing w:after="0" w:line="540" w:lineRule="exact"/>
        <w:ind w:firstLine="403"/>
        <w:jc w:val="both"/>
        <w:rPr>
          <w:sz w:val="28"/>
          <w:szCs w:val="28"/>
          <w:lang w:val="en-US" w:eastAsia="zh-CN" w:bidi="en-US"/>
        </w:rPr>
      </w:pPr>
      <w:bookmarkStart w:id="30" w:name="bookmark32"/>
      <w:r>
        <w:rPr>
          <w:sz w:val="28"/>
          <w:szCs w:val="28"/>
          <w:lang w:val="en-US" w:eastAsia="zh-CN" w:bidi="en-US"/>
        </w:rPr>
        <w:t>（</w:t>
      </w:r>
      <w:bookmarkEnd w:id="30"/>
      <w:r>
        <w:rPr>
          <w:sz w:val="28"/>
          <w:szCs w:val="28"/>
          <w:lang w:val="en-US" w:eastAsia="zh-CN" w:bidi="en-US"/>
        </w:rPr>
        <w:t>1）投标后投标人撤回其投标书的；</w:t>
      </w:r>
    </w:p>
    <w:p>
      <w:pPr>
        <w:pStyle w:val="11"/>
        <w:spacing w:after="0" w:line="540" w:lineRule="exact"/>
        <w:ind w:firstLine="403"/>
        <w:jc w:val="both"/>
        <w:rPr>
          <w:sz w:val="28"/>
          <w:szCs w:val="28"/>
          <w:lang w:val="en-US" w:eastAsia="zh-CN" w:bidi="en-US"/>
        </w:rPr>
      </w:pPr>
      <w:bookmarkStart w:id="31" w:name="bookmark33"/>
      <w:r>
        <w:rPr>
          <w:sz w:val="28"/>
          <w:szCs w:val="28"/>
          <w:lang w:val="en-US" w:eastAsia="zh-CN" w:bidi="en-US"/>
        </w:rPr>
        <w:t>（</w:t>
      </w:r>
      <w:bookmarkEnd w:id="31"/>
      <w:r>
        <w:rPr>
          <w:sz w:val="28"/>
          <w:szCs w:val="28"/>
          <w:lang w:val="en-US" w:eastAsia="zh-CN" w:bidi="en-US"/>
        </w:rPr>
        <w:t>2）在投标活动中有弄虚作假行为的；</w:t>
      </w:r>
    </w:p>
    <w:p>
      <w:pPr>
        <w:pStyle w:val="11"/>
        <w:spacing w:after="0" w:line="540" w:lineRule="exact"/>
        <w:ind w:firstLine="403"/>
        <w:jc w:val="both"/>
        <w:rPr>
          <w:sz w:val="28"/>
          <w:szCs w:val="28"/>
          <w:lang w:val="en-US" w:eastAsia="zh-CN" w:bidi="en-US"/>
        </w:rPr>
      </w:pPr>
      <w:bookmarkStart w:id="32" w:name="bookmark34"/>
      <w:r>
        <w:rPr>
          <w:sz w:val="28"/>
          <w:szCs w:val="28"/>
          <w:lang w:val="en-US" w:eastAsia="zh-CN" w:bidi="en-US"/>
        </w:rPr>
        <w:t>（</w:t>
      </w:r>
      <w:bookmarkEnd w:id="32"/>
      <w:r>
        <w:rPr>
          <w:sz w:val="28"/>
          <w:szCs w:val="28"/>
          <w:lang w:val="en-US" w:eastAsia="zh-CN" w:bidi="en-US"/>
        </w:rPr>
        <w:t>3）在投标过程中进行串通哄抬标价等不正当活动的；</w:t>
      </w:r>
    </w:p>
    <w:p>
      <w:pPr>
        <w:pStyle w:val="11"/>
        <w:spacing w:after="0" w:line="540" w:lineRule="exact"/>
        <w:ind w:firstLine="403"/>
        <w:jc w:val="both"/>
        <w:rPr>
          <w:sz w:val="28"/>
          <w:szCs w:val="28"/>
          <w:lang w:val="en-US" w:eastAsia="zh-CN" w:bidi="en-US"/>
        </w:rPr>
      </w:pPr>
      <w:bookmarkStart w:id="33" w:name="bookmark35"/>
      <w:r>
        <w:rPr>
          <w:sz w:val="28"/>
          <w:szCs w:val="28"/>
          <w:lang w:val="en-US" w:eastAsia="zh-CN" w:bidi="en-US"/>
        </w:rPr>
        <w:t>（</w:t>
      </w:r>
      <w:bookmarkEnd w:id="33"/>
      <w:r>
        <w:rPr>
          <w:sz w:val="28"/>
          <w:szCs w:val="28"/>
          <w:lang w:val="en-US" w:eastAsia="zh-CN" w:bidi="en-US"/>
        </w:rPr>
        <w:t>4）中标人无正当理由拒绝签订合同的。</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5.5投标有效期</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5.5.1《投标书》在投标截至日后90天内有效。</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5.5.2在原定的投标有效期满之前，如果岀现特殊情况，招标人可向投标人提岀延长有效期的要求，这种要求和答复应以书面的形式进行。投标人可以拒绝这种要求而不被没收投标保证金。同意延期的投标人，不需要也不允许修改投标书，但需要相应地延长投标保证金的有效期。</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5.6投标文件的份数和签署</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5.6.1投标人提交投标文件共肆份，正本壹份，副本贰份，电子文档一份（电子文档与投标资料内容及格式应严格一致）。</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5.6.2投标文件的正本和副本均需打印或使用不褪色的蓝、黑墨水笔书写，字体应清晰易于辨认，并在招标文件封面的右上角清楚地注明</w:t>
      </w:r>
      <w:r>
        <w:rPr>
          <w:sz w:val="28"/>
          <w:szCs w:val="28"/>
          <w:lang w:val="zh-CN" w:eastAsia="zh-CN" w:bidi="en-US"/>
        </w:rPr>
        <w:t>“正</w:t>
      </w:r>
      <w:r>
        <w:rPr>
          <w:sz w:val="28"/>
          <w:szCs w:val="28"/>
          <w:lang w:val="en-US" w:eastAsia="zh-CN" w:bidi="en-US"/>
        </w:rPr>
        <w:t>本”或“副本”或</w:t>
      </w:r>
      <w:r>
        <w:rPr>
          <w:sz w:val="28"/>
          <w:szCs w:val="28"/>
          <w:lang w:val="zh-CN" w:eastAsia="zh-CN" w:bidi="en-US"/>
        </w:rPr>
        <w:t>“电子</w:t>
      </w:r>
      <w:r>
        <w:rPr>
          <w:sz w:val="28"/>
          <w:szCs w:val="28"/>
          <w:lang w:val="en-US" w:eastAsia="zh-CN" w:bidi="en-US"/>
        </w:rPr>
        <w:t>文档”。正本和副本内容不一致之处，以正本为准。</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5.6.3投标文件封面、投标函均应加盖投标人印章（投标报价材料须分册装订、单独密封包装，且封面需注明项目名称和编号。由委托人签字或盖章的投标文件中须同时提交投标文件签署授权委托书。投标文件签署授权委托书格式、签字、盖章及内容均应符合要求，否则投标文件签署委托书无效。</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5.6.4除投标人对错误处需修改外，全套投标文件应无涂改或行间插字、增删。如有修改处由投标人加盖投标人的印章或由投标人法定代表人签字或盖章。</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5.7投标人的投标文件，概不退还。投标人应自行承担在投标过程中所涉及的一切费用。</w:t>
      </w:r>
    </w:p>
    <w:p>
      <w:pPr>
        <w:pStyle w:val="11"/>
        <w:spacing w:after="0" w:line="540" w:lineRule="exact"/>
        <w:ind w:firstLine="560" w:firstLineChars="200"/>
        <w:jc w:val="both"/>
        <w:rPr>
          <w:sz w:val="28"/>
          <w:szCs w:val="28"/>
          <w:lang w:val="en-US" w:eastAsia="zh-CN" w:bidi="en-US"/>
        </w:rPr>
      </w:pPr>
      <w:bookmarkStart w:id="34" w:name="bookmark36"/>
      <w:bookmarkEnd w:id="34"/>
      <w:r>
        <w:rPr>
          <w:rFonts w:hint="eastAsia"/>
          <w:sz w:val="28"/>
          <w:szCs w:val="28"/>
          <w:lang w:val="en-US" w:eastAsia="zh-CN" w:bidi="en-US"/>
        </w:rPr>
        <w:t>6.</w:t>
      </w:r>
      <w:r>
        <w:rPr>
          <w:sz w:val="28"/>
          <w:szCs w:val="28"/>
          <w:lang w:val="en-US" w:eastAsia="zh-CN" w:bidi="en-US"/>
        </w:rPr>
        <w:t>评标：</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6.1在投标人提交《投标书》时间截止后，招标人将召开评标会议，本着公平合理的原则进行综合评审，确定中标单位，评标结果将另行通知投标单位。</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6.2评标细则</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采用综合评分办法，确定中标侯选供应商。分值由价格、商务、技术三部分构成，采用百分制。评标委员会按评审后投标供应商综合得分由高到低排列顺序。得分相同的，按报价由低到高顺序排列；得分且价格相同的，按技术指标优劣顺序排列。评标委员会根据供应商的综合得分从高到低推荐1-3名中标侯选供应商。</w:t>
      </w: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tbl>
      <w:tblPr>
        <w:tblStyle w:val="5"/>
        <w:tblW w:w="9403" w:type="dxa"/>
        <w:jc w:val="center"/>
        <w:tblLayout w:type="fixed"/>
        <w:tblCellMar>
          <w:top w:w="0" w:type="dxa"/>
          <w:left w:w="10" w:type="dxa"/>
          <w:bottom w:w="0" w:type="dxa"/>
          <w:right w:w="10" w:type="dxa"/>
        </w:tblCellMar>
      </w:tblPr>
      <w:tblGrid>
        <w:gridCol w:w="864"/>
        <w:gridCol w:w="1728"/>
        <w:gridCol w:w="713"/>
        <w:gridCol w:w="6098"/>
      </w:tblGrid>
      <w:tr>
        <w:tblPrEx>
          <w:tblCellMar>
            <w:top w:w="0" w:type="dxa"/>
            <w:left w:w="10" w:type="dxa"/>
            <w:bottom w:w="0" w:type="dxa"/>
            <w:right w:w="10" w:type="dxa"/>
          </w:tblCellMar>
        </w:tblPrEx>
        <w:trPr>
          <w:trHeight w:val="691" w:hRule="exact"/>
          <w:jc w:val="center"/>
        </w:trPr>
        <w:tc>
          <w:tcPr>
            <w:tcW w:w="864" w:type="dxa"/>
            <w:tcBorders>
              <w:top w:val="single" w:color="auto" w:sz="4" w:space="0"/>
              <w:left w:val="single" w:color="auto" w:sz="4" w:space="0"/>
            </w:tcBorders>
            <w:shd w:val="clear" w:color="auto" w:fill="FFFFFF"/>
            <w:vAlign w:val="center"/>
          </w:tcPr>
          <w:p>
            <w:pPr>
              <w:pStyle w:val="21"/>
              <w:spacing w:after="0" w:line="240" w:lineRule="auto"/>
              <w:ind w:firstLine="200"/>
              <w:rPr>
                <w:sz w:val="22"/>
                <w:szCs w:val="22"/>
              </w:rPr>
            </w:pPr>
            <w:r>
              <w:rPr>
                <w:sz w:val="22"/>
                <w:szCs w:val="22"/>
              </w:rPr>
              <w:t>构成</w:t>
            </w:r>
          </w:p>
        </w:tc>
        <w:tc>
          <w:tcPr>
            <w:tcW w:w="1728"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2"/>
                <w:szCs w:val="22"/>
              </w:rPr>
            </w:pPr>
            <w:r>
              <w:rPr>
                <w:sz w:val="22"/>
                <w:szCs w:val="22"/>
              </w:rPr>
              <w:t>项目</w:t>
            </w:r>
          </w:p>
        </w:tc>
        <w:tc>
          <w:tcPr>
            <w:tcW w:w="713" w:type="dxa"/>
            <w:tcBorders>
              <w:top w:val="single" w:color="auto" w:sz="4" w:space="0"/>
              <w:left w:val="single" w:color="auto" w:sz="4" w:space="0"/>
            </w:tcBorders>
            <w:shd w:val="clear" w:color="auto" w:fill="FFFFFF"/>
            <w:vAlign w:val="center"/>
          </w:tcPr>
          <w:p>
            <w:pPr>
              <w:pStyle w:val="21"/>
              <w:spacing w:after="0" w:line="240" w:lineRule="auto"/>
              <w:ind w:firstLine="0"/>
              <w:rPr>
                <w:sz w:val="22"/>
                <w:szCs w:val="22"/>
              </w:rPr>
            </w:pPr>
            <w:r>
              <w:rPr>
                <w:sz w:val="22"/>
                <w:szCs w:val="22"/>
              </w:rPr>
              <w:t>配分</w:t>
            </w:r>
          </w:p>
        </w:tc>
        <w:tc>
          <w:tcPr>
            <w:tcW w:w="6098"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sz w:val="22"/>
                <w:szCs w:val="22"/>
              </w:rPr>
            </w:pPr>
            <w:r>
              <w:rPr>
                <w:sz w:val="22"/>
                <w:szCs w:val="22"/>
              </w:rPr>
              <w:t>评分标准</w:t>
            </w:r>
          </w:p>
        </w:tc>
      </w:tr>
      <w:tr>
        <w:tblPrEx>
          <w:tblCellMar>
            <w:top w:w="0" w:type="dxa"/>
            <w:left w:w="10" w:type="dxa"/>
            <w:bottom w:w="0" w:type="dxa"/>
            <w:right w:w="10" w:type="dxa"/>
          </w:tblCellMar>
        </w:tblPrEx>
        <w:trPr>
          <w:trHeight w:val="1260" w:hRule="exact"/>
          <w:jc w:val="center"/>
        </w:trPr>
        <w:tc>
          <w:tcPr>
            <w:tcW w:w="864" w:type="dxa"/>
            <w:tcBorders>
              <w:top w:val="single" w:color="auto" w:sz="4" w:space="0"/>
              <w:left w:val="single" w:color="auto" w:sz="4" w:space="0"/>
            </w:tcBorders>
            <w:shd w:val="clear" w:color="auto" w:fill="FFFFFF"/>
            <w:vAlign w:val="center"/>
          </w:tcPr>
          <w:p>
            <w:pPr>
              <w:pStyle w:val="21"/>
              <w:spacing w:after="0" w:line="451" w:lineRule="exact"/>
              <w:ind w:left="320" w:firstLine="20"/>
              <w:rPr>
                <w:sz w:val="20"/>
                <w:szCs w:val="20"/>
              </w:rPr>
            </w:pPr>
            <w:r>
              <w:rPr>
                <w:sz w:val="20"/>
                <w:szCs w:val="20"/>
              </w:rPr>
              <w:t>商务</w:t>
            </w:r>
            <w:r>
              <w:rPr>
                <w:rFonts w:ascii="Times New Roman" w:hAnsi="Times New Roman" w:eastAsia="Times New Roman" w:cs="Times New Roman"/>
                <w:sz w:val="20"/>
                <w:szCs w:val="20"/>
              </w:rPr>
              <w:t>20</w:t>
            </w:r>
            <w:r>
              <w:rPr>
                <w:sz w:val="20"/>
                <w:szCs w:val="20"/>
              </w:rPr>
              <w:t>分</w:t>
            </w:r>
          </w:p>
        </w:tc>
        <w:tc>
          <w:tcPr>
            <w:tcW w:w="1728" w:type="dxa"/>
            <w:tcBorders>
              <w:top w:val="single" w:color="auto" w:sz="4" w:space="0"/>
              <w:left w:val="single" w:color="auto" w:sz="4" w:space="0"/>
            </w:tcBorders>
            <w:shd w:val="clear" w:color="auto" w:fill="FFFFFF"/>
            <w:vAlign w:val="center"/>
          </w:tcPr>
          <w:p>
            <w:pPr>
              <w:pStyle w:val="21"/>
              <w:spacing w:after="0" w:line="346" w:lineRule="exact"/>
              <w:ind w:firstLine="0"/>
              <w:rPr>
                <w:sz w:val="20"/>
                <w:szCs w:val="20"/>
              </w:rPr>
            </w:pPr>
            <w:r>
              <w:rPr>
                <w:sz w:val="20"/>
                <w:szCs w:val="20"/>
              </w:rPr>
              <w:t>投标人综合实力</w:t>
            </w:r>
          </w:p>
        </w:tc>
        <w:tc>
          <w:tcPr>
            <w:tcW w:w="713" w:type="dxa"/>
            <w:tcBorders>
              <w:top w:val="single" w:color="auto" w:sz="4" w:space="0"/>
              <w:left w:val="single" w:color="auto" w:sz="4" w:space="0"/>
            </w:tcBorders>
            <w:shd w:val="clear" w:color="auto" w:fill="FFFFFF"/>
            <w:vAlign w:val="center"/>
          </w:tcPr>
          <w:p>
            <w:pPr>
              <w:pStyle w:val="21"/>
              <w:spacing w:after="0" w:line="240" w:lineRule="auto"/>
              <w:ind w:firstLine="240"/>
              <w:rPr>
                <w:sz w:val="20"/>
                <w:szCs w:val="20"/>
                <w:lang w:val="en-US" w:eastAsia="zh-CN"/>
              </w:rPr>
            </w:pPr>
            <w:r>
              <w:rPr>
                <w:rFonts w:hint="eastAsia" w:ascii="Times New Roman" w:hAnsi="Times New Roman" w:cs="Times New Roman"/>
                <w:color w:val="000000" w:themeColor="text1"/>
                <w:sz w:val="20"/>
                <w:szCs w:val="20"/>
                <w:lang w:val="en-US" w:eastAsia="zh-CN"/>
                <w14:textFill>
                  <w14:solidFill>
                    <w14:schemeClr w14:val="tx1"/>
                  </w14:solidFill>
                </w14:textFill>
              </w:rPr>
              <w:t>2</w:t>
            </w:r>
            <w:r>
              <w:rPr>
                <w:rFonts w:hint="eastAsia" w:ascii="Times New Roman" w:hAnsi="Times New Roman" w:cs="Times New Roman"/>
                <w:sz w:val="20"/>
                <w:szCs w:val="20"/>
                <w:lang w:val="en-US" w:eastAsia="zh-CN"/>
              </w:rPr>
              <w:t>0</w:t>
            </w:r>
          </w:p>
        </w:tc>
        <w:tc>
          <w:tcPr>
            <w:tcW w:w="6098" w:type="dxa"/>
            <w:tcBorders>
              <w:top w:val="single" w:color="auto" w:sz="4" w:space="0"/>
              <w:left w:val="single" w:color="auto" w:sz="4" w:space="0"/>
              <w:right w:val="single" w:color="auto" w:sz="4" w:space="0"/>
            </w:tcBorders>
            <w:shd w:val="clear" w:color="auto" w:fill="FFFFFF"/>
          </w:tcPr>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投标人企业注册资金</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a、</w:t>
            </w:r>
            <w:r>
              <w:rPr>
                <w:rFonts w:hint="eastAsia"/>
                <w:sz w:val="20"/>
                <w:szCs w:val="20"/>
                <w:lang w:val="en-US" w:eastAsia="zh-CN"/>
              </w:rPr>
              <w:tab/>
            </w:r>
            <w:r>
              <w:rPr>
                <w:rFonts w:hint="eastAsia"/>
                <w:sz w:val="20"/>
                <w:szCs w:val="20"/>
                <w:lang w:val="en-US" w:eastAsia="zh-CN"/>
              </w:rPr>
              <w:t>5000万元（含）以上，得20分；</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en-US"/>
              </w:rPr>
              <w:t>b、</w:t>
            </w:r>
            <w:r>
              <w:rPr>
                <w:rFonts w:hint="eastAsia"/>
                <w:sz w:val="20"/>
                <w:szCs w:val="20"/>
                <w:lang w:val="en-US" w:eastAsia="en-US"/>
              </w:rPr>
              <w:tab/>
            </w:r>
            <w:r>
              <w:rPr>
                <w:rFonts w:hint="eastAsia"/>
                <w:sz w:val="20"/>
                <w:szCs w:val="20"/>
                <w:lang w:val="en-US" w:eastAsia="zh-CN"/>
              </w:rPr>
              <w:t>大于4000万元（含），小于5000万元，得12分；</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en-US"/>
              </w:rPr>
              <w:t>c、</w:t>
            </w:r>
            <w:r>
              <w:rPr>
                <w:rFonts w:hint="eastAsia"/>
                <w:sz w:val="20"/>
                <w:szCs w:val="20"/>
                <w:lang w:val="en-US" w:eastAsia="en-US"/>
              </w:rPr>
              <w:tab/>
            </w:r>
            <w:r>
              <w:rPr>
                <w:rFonts w:hint="eastAsia"/>
                <w:sz w:val="20"/>
                <w:szCs w:val="20"/>
                <w:lang w:val="en-US" w:eastAsia="zh-CN"/>
              </w:rPr>
              <w:t>4000万元以下，得4分。</w:t>
            </w:r>
          </w:p>
        </w:tc>
      </w:tr>
      <w:tr>
        <w:tblPrEx>
          <w:tblCellMar>
            <w:top w:w="0" w:type="dxa"/>
            <w:left w:w="10" w:type="dxa"/>
            <w:bottom w:w="0" w:type="dxa"/>
            <w:right w:w="10" w:type="dxa"/>
          </w:tblCellMar>
        </w:tblPrEx>
        <w:trPr>
          <w:trHeight w:val="4452" w:hRule="exact"/>
          <w:jc w:val="center"/>
        </w:trPr>
        <w:tc>
          <w:tcPr>
            <w:tcW w:w="864" w:type="dxa"/>
            <w:vMerge w:val="restart"/>
            <w:tcBorders>
              <w:top w:val="single" w:color="auto" w:sz="4" w:space="0"/>
              <w:left w:val="single" w:color="auto" w:sz="4" w:space="0"/>
            </w:tcBorders>
            <w:shd w:val="clear" w:color="auto" w:fill="FFFFFF"/>
            <w:vAlign w:val="center"/>
          </w:tcPr>
          <w:p>
            <w:pPr>
              <w:pStyle w:val="21"/>
              <w:spacing w:after="0" w:line="240" w:lineRule="exact"/>
              <w:ind w:firstLine="320"/>
              <w:jc w:val="both"/>
              <w:rPr>
                <w:sz w:val="20"/>
                <w:szCs w:val="20"/>
              </w:rPr>
            </w:pPr>
            <w:r>
              <w:rPr>
                <w:sz w:val="20"/>
                <w:szCs w:val="20"/>
              </w:rPr>
              <w:t>技</w:t>
            </w:r>
          </w:p>
          <w:p>
            <w:pPr>
              <w:pStyle w:val="21"/>
              <w:spacing w:after="0" w:line="240" w:lineRule="exact"/>
              <w:ind w:left="320" w:firstLine="20"/>
              <w:jc w:val="both"/>
              <w:rPr>
                <w:sz w:val="20"/>
                <w:szCs w:val="20"/>
              </w:rPr>
            </w:pPr>
            <w:r>
              <w:rPr>
                <w:sz w:val="20"/>
                <w:szCs w:val="20"/>
              </w:rPr>
              <w:t>术</w:t>
            </w:r>
          </w:p>
          <w:p>
            <w:pPr>
              <w:pStyle w:val="21"/>
              <w:spacing w:after="0" w:line="240" w:lineRule="exact"/>
              <w:ind w:left="320" w:firstLine="20"/>
              <w:jc w:val="both"/>
              <w:rPr>
                <w:sz w:val="20"/>
                <w:szCs w:val="20"/>
              </w:rPr>
            </w:pPr>
            <w:r>
              <w:rPr>
                <w:sz w:val="20"/>
                <w:szCs w:val="20"/>
              </w:rPr>
              <w:t>能</w:t>
            </w:r>
          </w:p>
          <w:p>
            <w:pPr>
              <w:pStyle w:val="21"/>
              <w:spacing w:after="0" w:line="240" w:lineRule="exact"/>
              <w:ind w:left="320" w:firstLine="20"/>
              <w:jc w:val="both"/>
              <w:rPr>
                <w:sz w:val="20"/>
                <w:szCs w:val="20"/>
              </w:rPr>
            </w:pPr>
            <w:r>
              <w:rPr>
                <w:sz w:val="20"/>
                <w:szCs w:val="20"/>
              </w:rPr>
              <w:t>力</w:t>
            </w:r>
          </w:p>
          <w:p>
            <w:pPr>
              <w:pStyle w:val="21"/>
              <w:spacing w:after="0" w:line="240" w:lineRule="exact"/>
              <w:ind w:left="320" w:firstLine="20"/>
              <w:jc w:val="both"/>
              <w:rPr>
                <w:sz w:val="20"/>
                <w:szCs w:val="20"/>
              </w:rPr>
            </w:pPr>
            <w:r>
              <w:rPr>
                <w:rFonts w:ascii="Times New Roman" w:hAnsi="Times New Roman" w:eastAsia="Times New Roman" w:cs="Times New Roman"/>
                <w:sz w:val="20"/>
                <w:szCs w:val="20"/>
              </w:rPr>
              <w:t>50</w:t>
            </w:r>
            <w:r>
              <w:rPr>
                <w:sz w:val="20"/>
                <w:szCs w:val="20"/>
              </w:rPr>
              <w:t>分</w:t>
            </w:r>
          </w:p>
        </w:tc>
        <w:tc>
          <w:tcPr>
            <w:tcW w:w="1728" w:type="dxa"/>
            <w:tcBorders>
              <w:top w:val="single" w:color="auto" w:sz="4" w:space="0"/>
              <w:left w:val="single" w:color="auto" w:sz="4" w:space="0"/>
            </w:tcBorders>
            <w:shd w:val="clear" w:color="auto" w:fill="FFFFFF"/>
          </w:tcPr>
          <w:p>
            <w:pPr>
              <w:pStyle w:val="21"/>
              <w:spacing w:after="0" w:line="240" w:lineRule="exact"/>
              <w:ind w:firstLine="240"/>
              <w:rPr>
                <w:rFonts w:ascii="Times New Roman" w:hAnsi="Times New Roman" w:eastAsia="Times New Roman" w:cs="Times New Roman"/>
                <w:sz w:val="20"/>
                <w:szCs w:val="20"/>
              </w:rPr>
            </w:pPr>
            <w:r>
              <w:rPr>
                <w:rFonts w:ascii="Times New Roman" w:hAnsi="Times New Roman" w:eastAsia="Times New Roman" w:cs="Times New Roman"/>
                <w:sz w:val="20"/>
                <w:szCs w:val="20"/>
              </w:rPr>
              <w:t>一、产品及技术</w:t>
            </w:r>
          </w:p>
        </w:tc>
        <w:tc>
          <w:tcPr>
            <w:tcW w:w="713" w:type="dxa"/>
            <w:tcBorders>
              <w:top w:val="single" w:color="auto" w:sz="4" w:space="0"/>
              <w:left w:val="single" w:color="auto" w:sz="4" w:space="0"/>
            </w:tcBorders>
            <w:shd w:val="clear" w:color="auto" w:fill="FFFFFF"/>
            <w:vAlign w:val="center"/>
          </w:tcPr>
          <w:p>
            <w:pPr>
              <w:pStyle w:val="21"/>
              <w:spacing w:after="0" w:line="240" w:lineRule="exact"/>
              <w:ind w:firstLine="240"/>
              <w:rPr>
                <w:rFonts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30</w:t>
            </w:r>
          </w:p>
        </w:tc>
        <w:tc>
          <w:tcPr>
            <w:tcW w:w="6098" w:type="dxa"/>
            <w:tcBorders>
              <w:top w:val="single" w:color="auto" w:sz="4" w:space="0"/>
              <w:left w:val="single" w:color="auto" w:sz="4" w:space="0"/>
              <w:right w:val="single" w:color="auto" w:sz="4" w:space="0"/>
            </w:tcBorders>
            <w:shd w:val="clear" w:color="auto" w:fill="FFFFFF"/>
          </w:tcPr>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要求：</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1、热力供应系统方案使用非化石能源，蒸汽压力具有达到2.0MPA能力，正常运行压力的不低于1.6MPA,温度为饱和蒸汽压力，年供热能力10万吨以上并应具备良好的稳定性、安全性；</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2、热力供应的生产系统达到国家和项目所在地环保排放指标要求，颗粒物不高于10㎎/m3、二氧化硫不高于50㎎/m3、氮氧化物不高于100㎎/m3；</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3、热力供应的生产系统采用双套单元系统，互为备用，系统占地面积不超过1</w:t>
            </w:r>
            <w:r>
              <w:rPr>
                <w:rFonts w:hint="eastAsia"/>
                <w:color w:val="000000" w:themeColor="text1"/>
                <w:sz w:val="20"/>
                <w:szCs w:val="20"/>
                <w:lang w:val="en-US" w:eastAsia="zh-CN"/>
                <w14:textFill>
                  <w14:solidFill>
                    <w14:schemeClr w14:val="tx1"/>
                  </w14:solidFill>
                </w14:textFill>
              </w:rPr>
              <w:t>2</w:t>
            </w:r>
            <w:r>
              <w:rPr>
                <w:rFonts w:hint="eastAsia"/>
                <w:sz w:val="20"/>
                <w:szCs w:val="20"/>
                <w:lang w:val="en-US" w:eastAsia="zh-CN"/>
              </w:rPr>
              <w:t>00㎡；</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4、投标人提供的智慧能源服务软件系统为自主知识产权产品或通过合法渠道获取（须提供相关授权证明），并应具备先进性、高效性、易用性。</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5、投标人提供的智慧能源服务软件系统应具备一定的开放性、实现集成管理，随需应变。</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a、</w:t>
            </w:r>
            <w:r>
              <w:rPr>
                <w:rFonts w:hint="eastAsia"/>
                <w:sz w:val="20"/>
                <w:szCs w:val="20"/>
                <w:lang w:val="en-US" w:eastAsia="zh-CN"/>
              </w:rPr>
              <w:tab/>
            </w:r>
            <w:r>
              <w:rPr>
                <w:rFonts w:hint="eastAsia"/>
                <w:sz w:val="20"/>
                <w:szCs w:val="20"/>
                <w:lang w:val="en-US" w:eastAsia="zh-CN"/>
              </w:rPr>
              <w:t>满足以上5点，得20-30分；</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b、</w:t>
            </w:r>
            <w:r>
              <w:rPr>
                <w:rFonts w:hint="eastAsia"/>
                <w:sz w:val="20"/>
                <w:szCs w:val="20"/>
                <w:lang w:val="en-US" w:eastAsia="zh-CN"/>
              </w:rPr>
              <w:tab/>
            </w:r>
            <w:r>
              <w:rPr>
                <w:rFonts w:hint="eastAsia"/>
                <w:sz w:val="20"/>
                <w:szCs w:val="20"/>
                <w:lang w:val="en-US" w:eastAsia="zh-CN"/>
              </w:rPr>
              <w:t>满足以上3点，得10-20分；</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c、</w:t>
            </w:r>
            <w:r>
              <w:rPr>
                <w:rFonts w:hint="eastAsia"/>
                <w:sz w:val="20"/>
                <w:szCs w:val="20"/>
                <w:lang w:val="en-US" w:eastAsia="zh-CN"/>
              </w:rPr>
              <w:tab/>
            </w:r>
            <w:r>
              <w:rPr>
                <w:rFonts w:hint="eastAsia"/>
                <w:sz w:val="20"/>
                <w:szCs w:val="20"/>
                <w:lang w:val="en-US" w:eastAsia="zh-CN"/>
              </w:rPr>
              <w:t>满足以上1点，得0-10分。</w:t>
            </w:r>
          </w:p>
        </w:tc>
      </w:tr>
      <w:tr>
        <w:tblPrEx>
          <w:tblCellMar>
            <w:top w:w="0" w:type="dxa"/>
            <w:left w:w="10" w:type="dxa"/>
            <w:bottom w:w="0" w:type="dxa"/>
            <w:right w:w="10" w:type="dxa"/>
          </w:tblCellMar>
        </w:tblPrEx>
        <w:trPr>
          <w:trHeight w:val="2210" w:hRule="exact"/>
          <w:jc w:val="center"/>
        </w:trPr>
        <w:tc>
          <w:tcPr>
            <w:tcW w:w="864" w:type="dxa"/>
            <w:vMerge w:val="continue"/>
            <w:tcBorders>
              <w:left w:val="single" w:color="auto" w:sz="4" w:space="0"/>
              <w:bottom w:val="single" w:color="auto" w:sz="4" w:space="0"/>
            </w:tcBorders>
            <w:shd w:val="clear" w:color="auto" w:fill="FFFFFF"/>
            <w:vAlign w:val="center"/>
          </w:tcPr>
          <w:p>
            <w:pPr>
              <w:spacing w:line="240" w:lineRule="exact"/>
              <w:rPr>
                <w:lang w:eastAsia="zh-CN"/>
              </w:rPr>
            </w:pPr>
          </w:p>
        </w:tc>
        <w:tc>
          <w:tcPr>
            <w:tcW w:w="1728" w:type="dxa"/>
            <w:tcBorders>
              <w:top w:val="single" w:color="auto" w:sz="4" w:space="0"/>
              <w:left w:val="single" w:color="auto" w:sz="4" w:space="0"/>
              <w:bottom w:val="single" w:color="auto" w:sz="4" w:space="0"/>
            </w:tcBorders>
            <w:shd w:val="clear" w:color="auto" w:fill="FFFFFF"/>
            <w:vAlign w:val="center"/>
          </w:tcPr>
          <w:p>
            <w:pPr>
              <w:pStyle w:val="21"/>
              <w:spacing w:after="0" w:line="240" w:lineRule="exact"/>
              <w:ind w:firstLine="0"/>
              <w:rPr>
                <w:sz w:val="20"/>
                <w:szCs w:val="20"/>
              </w:rPr>
            </w:pPr>
            <w:r>
              <w:rPr>
                <w:sz w:val="20"/>
                <w:szCs w:val="20"/>
              </w:rPr>
              <w:t>二、实施保障服务</w:t>
            </w:r>
          </w:p>
        </w:tc>
        <w:tc>
          <w:tcPr>
            <w:tcW w:w="713" w:type="dxa"/>
            <w:tcBorders>
              <w:top w:val="single" w:color="auto" w:sz="4" w:space="0"/>
              <w:left w:val="single" w:color="auto" w:sz="4" w:space="0"/>
              <w:bottom w:val="single" w:color="auto" w:sz="4" w:space="0"/>
            </w:tcBorders>
            <w:shd w:val="clear" w:color="auto" w:fill="FFFFFF"/>
            <w:vAlign w:val="center"/>
          </w:tcPr>
          <w:p>
            <w:pPr>
              <w:pStyle w:val="21"/>
              <w:spacing w:after="0" w:line="240" w:lineRule="exact"/>
              <w:ind w:firstLine="240"/>
              <w:rPr>
                <w:sz w:val="20"/>
                <w:szCs w:val="20"/>
              </w:rPr>
            </w:pPr>
            <w:r>
              <w:rPr>
                <w:rFonts w:ascii="Times New Roman" w:hAnsi="Times New Roman" w:eastAsia="Times New Roman" w:cs="Times New Roman"/>
                <w:sz w:val="20"/>
                <w:szCs w:val="20"/>
              </w:rPr>
              <w:t>20</w:t>
            </w:r>
          </w:p>
        </w:tc>
        <w:tc>
          <w:tcPr>
            <w:tcW w:w="60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要求：</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1、</w:t>
            </w:r>
            <w:r>
              <w:rPr>
                <w:rFonts w:hint="eastAsia"/>
                <w:sz w:val="20"/>
                <w:szCs w:val="20"/>
                <w:lang w:val="en-US" w:eastAsia="zh-CN"/>
              </w:rPr>
              <w:tab/>
            </w:r>
            <w:r>
              <w:rPr>
                <w:rFonts w:hint="eastAsia"/>
                <w:sz w:val="20"/>
                <w:szCs w:val="20"/>
                <w:lang w:val="en-US" w:eastAsia="zh-CN"/>
              </w:rPr>
              <w:t>实施过程具备完善的项目实施风险控制机制；</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2、</w:t>
            </w:r>
            <w:r>
              <w:rPr>
                <w:rFonts w:hint="eastAsia"/>
                <w:sz w:val="20"/>
                <w:szCs w:val="20"/>
                <w:lang w:val="en-US" w:eastAsia="zh-CN"/>
              </w:rPr>
              <w:tab/>
            </w:r>
            <w:r>
              <w:rPr>
                <w:rFonts w:hint="eastAsia"/>
                <w:sz w:val="20"/>
                <w:szCs w:val="20"/>
                <w:lang w:val="en-US" w:eastAsia="zh-CN"/>
              </w:rPr>
              <w:t>提多维度的实施服务培训（包含业务层、管理层、技术层）；</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3、</w:t>
            </w:r>
            <w:r>
              <w:rPr>
                <w:rFonts w:hint="eastAsia"/>
                <w:sz w:val="20"/>
                <w:szCs w:val="20"/>
                <w:lang w:val="en-US" w:eastAsia="zh-CN"/>
              </w:rPr>
              <w:tab/>
            </w:r>
            <w:r>
              <w:rPr>
                <w:rFonts w:hint="eastAsia"/>
                <w:sz w:val="20"/>
                <w:szCs w:val="20"/>
                <w:lang w:val="en-US" w:eastAsia="zh-CN"/>
              </w:rPr>
              <w:t>提供及时的本地化维护服务相应措施；</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a、</w:t>
            </w:r>
            <w:r>
              <w:rPr>
                <w:rFonts w:hint="eastAsia"/>
                <w:sz w:val="20"/>
                <w:szCs w:val="20"/>
                <w:lang w:val="en-US" w:eastAsia="zh-CN"/>
              </w:rPr>
              <w:tab/>
            </w:r>
            <w:r>
              <w:rPr>
                <w:rFonts w:hint="eastAsia"/>
                <w:sz w:val="20"/>
                <w:szCs w:val="20"/>
                <w:lang w:val="en-US" w:eastAsia="zh-CN"/>
              </w:rPr>
              <w:t>满足以上3点，得15-20分；</w:t>
            </w:r>
          </w:p>
          <w:p>
            <w:pPr>
              <w:pStyle w:val="21"/>
              <w:tabs>
                <w:tab w:val="left" w:pos="353"/>
              </w:tabs>
              <w:spacing w:after="0" w:line="240" w:lineRule="exact"/>
              <w:ind w:firstLine="0"/>
              <w:jc w:val="both"/>
              <w:rPr>
                <w:sz w:val="20"/>
                <w:szCs w:val="20"/>
                <w:lang w:val="en-US" w:eastAsia="zh-CN"/>
              </w:rPr>
            </w:pPr>
            <w:r>
              <w:rPr>
                <w:rFonts w:hint="eastAsia"/>
                <w:sz w:val="20"/>
                <w:szCs w:val="20"/>
                <w:lang w:val="en-US" w:eastAsia="zh-CN"/>
              </w:rPr>
              <w:t>b、</w:t>
            </w:r>
            <w:r>
              <w:rPr>
                <w:rFonts w:hint="eastAsia"/>
                <w:sz w:val="20"/>
                <w:szCs w:val="20"/>
                <w:lang w:val="en-US" w:eastAsia="zh-CN"/>
              </w:rPr>
              <w:tab/>
            </w:r>
            <w:r>
              <w:rPr>
                <w:rFonts w:hint="eastAsia"/>
                <w:sz w:val="20"/>
                <w:szCs w:val="20"/>
                <w:lang w:val="en-US" w:eastAsia="zh-CN"/>
              </w:rPr>
              <w:t>满足以上2点，得11-15分；</w:t>
            </w:r>
          </w:p>
          <w:p>
            <w:pPr>
              <w:pStyle w:val="21"/>
              <w:tabs>
                <w:tab w:val="left" w:pos="353"/>
              </w:tabs>
              <w:spacing w:after="0" w:line="240" w:lineRule="exact"/>
              <w:ind w:firstLine="0"/>
              <w:jc w:val="both"/>
              <w:rPr>
                <w:sz w:val="20"/>
                <w:szCs w:val="20"/>
              </w:rPr>
            </w:pPr>
            <w:r>
              <w:rPr>
                <w:rFonts w:hint="eastAsia"/>
                <w:sz w:val="20"/>
                <w:szCs w:val="20"/>
                <w:lang w:val="en-US" w:eastAsia="zh-CN"/>
              </w:rPr>
              <w:t>c、</w:t>
            </w:r>
            <w:r>
              <w:rPr>
                <w:rFonts w:hint="eastAsia"/>
                <w:sz w:val="20"/>
                <w:szCs w:val="20"/>
                <w:lang w:val="en-US" w:eastAsia="zh-CN"/>
              </w:rPr>
              <w:tab/>
            </w:r>
            <w:r>
              <w:rPr>
                <w:rFonts w:hint="eastAsia"/>
                <w:sz w:val="20"/>
                <w:szCs w:val="20"/>
                <w:lang w:val="en-US" w:eastAsia="zh-CN"/>
              </w:rPr>
              <w:t>满足以上1点，得0-10分。</w:t>
            </w:r>
          </w:p>
        </w:tc>
      </w:tr>
      <w:tr>
        <w:tblPrEx>
          <w:tblCellMar>
            <w:top w:w="0" w:type="dxa"/>
            <w:left w:w="10" w:type="dxa"/>
            <w:bottom w:w="0" w:type="dxa"/>
            <w:right w:w="10" w:type="dxa"/>
          </w:tblCellMar>
        </w:tblPrEx>
        <w:trPr>
          <w:trHeight w:val="470" w:hRule="exact"/>
          <w:jc w:val="center"/>
        </w:trPr>
        <w:tc>
          <w:tcPr>
            <w:tcW w:w="864" w:type="dxa"/>
            <w:vMerge w:val="restart"/>
            <w:tcBorders>
              <w:top w:val="single" w:color="auto" w:sz="4" w:space="0"/>
              <w:left w:val="single" w:color="auto" w:sz="4" w:space="0"/>
              <w:right w:val="single" w:color="auto" w:sz="4" w:space="0"/>
            </w:tcBorders>
            <w:shd w:val="clear" w:color="auto" w:fill="FFFFFF"/>
            <w:vAlign w:val="center"/>
          </w:tcPr>
          <w:p>
            <w:pPr>
              <w:pStyle w:val="21"/>
              <w:spacing w:after="0" w:line="240" w:lineRule="exact"/>
              <w:ind w:firstLine="0"/>
              <w:jc w:val="center"/>
              <w:rPr>
                <w:sz w:val="20"/>
                <w:szCs w:val="20"/>
              </w:rPr>
            </w:pPr>
            <w:r>
              <w:rPr>
                <w:sz w:val="20"/>
                <w:szCs w:val="20"/>
              </w:rPr>
              <w:t>价</w:t>
            </w:r>
          </w:p>
          <w:p>
            <w:pPr>
              <w:pStyle w:val="21"/>
              <w:spacing w:after="0" w:line="240" w:lineRule="exact"/>
              <w:ind w:firstLine="300"/>
              <w:rPr>
                <w:sz w:val="20"/>
                <w:szCs w:val="20"/>
              </w:rPr>
            </w:pPr>
            <w:r>
              <w:rPr>
                <w:sz w:val="20"/>
                <w:szCs w:val="20"/>
              </w:rPr>
              <w:t>格</w:t>
            </w:r>
          </w:p>
          <w:p>
            <w:pPr>
              <w:pStyle w:val="21"/>
              <w:spacing w:after="0" w:line="240" w:lineRule="exact"/>
              <w:ind w:firstLine="300"/>
            </w:pPr>
            <w:r>
              <w:rPr>
                <w:rFonts w:ascii="Times New Roman" w:hAnsi="Times New Roman" w:eastAsia="Times New Roman" w:cs="Times New Roman"/>
                <w:sz w:val="20"/>
                <w:szCs w:val="20"/>
              </w:rPr>
              <w:t>30</w:t>
            </w:r>
            <w:r>
              <w:rPr>
                <w:sz w:val="20"/>
                <w:szCs w:val="20"/>
              </w:rPr>
              <w:t>分</w:t>
            </w:r>
          </w:p>
        </w:tc>
        <w:tc>
          <w:tcPr>
            <w:tcW w:w="853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rPr>
                <w:rFonts w:ascii="Times New Roman" w:hAnsi="Times New Roman" w:cs="Times New Roman"/>
                <w:sz w:val="20"/>
                <w:szCs w:val="20"/>
                <w:lang w:val="en-US"/>
              </w:rPr>
            </w:pPr>
            <w:r>
              <w:rPr>
                <w:sz w:val="20"/>
                <w:szCs w:val="20"/>
              </w:rPr>
              <w:t>价格分=</w:t>
            </w:r>
            <w:r>
              <w:rPr>
                <w:rFonts w:ascii="Times New Roman" w:hAnsi="Times New Roman" w:eastAsia="Times New Roman" w:cs="Times New Roman"/>
                <w:sz w:val="20"/>
                <w:szCs w:val="20"/>
              </w:rPr>
              <w:t>(1</w:t>
            </w:r>
            <w:r>
              <w:rPr>
                <w:rFonts w:hint="eastAsia" w:ascii="Times New Roman" w:hAnsi="Times New Roman" w:cs="Times New Roman"/>
                <w:sz w:val="20"/>
                <w:szCs w:val="20"/>
                <w:lang w:val="en-US"/>
              </w:rPr>
              <w:t>－</w:t>
            </w:r>
            <w:r>
              <w:rPr>
                <w:rFonts w:hint="eastAsia" w:ascii="Times New Roman" w:hAnsi="Times New Roman" w:eastAsia="Times New Roman" w:cs="Times New Roman"/>
                <w:sz w:val="20"/>
                <w:szCs w:val="20"/>
              </w:rPr>
              <w:t>∣</w:t>
            </w:r>
            <w:r>
              <w:rPr>
                <w:rFonts w:ascii="Times New Roman" w:hAnsi="Times New Roman" w:eastAsia="Times New Roman" w:cs="Times New Roman"/>
                <w:sz w:val="20"/>
                <w:szCs w:val="20"/>
                <w:lang w:val="en-US" w:bidi="en-US"/>
              </w:rPr>
              <w:t>F</w:t>
            </w:r>
            <w:r>
              <w:rPr>
                <w:rFonts w:hint="eastAsia" w:ascii="Times New Roman" w:hAnsi="Times New Roman" w:cs="Times New Roman"/>
                <w:sz w:val="20"/>
                <w:szCs w:val="20"/>
                <w:lang w:val="en-US" w:bidi="en-US"/>
              </w:rPr>
              <w:t>－</w:t>
            </w:r>
            <w:r>
              <w:rPr>
                <w:rFonts w:ascii="Times New Roman" w:hAnsi="Times New Roman" w:eastAsia="Times New Roman" w:cs="Times New Roman"/>
                <w:sz w:val="20"/>
                <w:szCs w:val="20"/>
                <w:lang w:val="en-US" w:bidi="en-US"/>
              </w:rPr>
              <w:t>Favg</w:t>
            </w:r>
            <w:r>
              <w:rPr>
                <w:rFonts w:hint="eastAsia" w:ascii="Times New Roman" w:hAnsi="Times New Roman" w:eastAsia="Times New Roman" w:cs="Times New Roman"/>
                <w:sz w:val="20"/>
                <w:szCs w:val="20"/>
              </w:rPr>
              <w:t>∣</w:t>
            </w:r>
            <w:r>
              <w:rPr>
                <w:rFonts w:hint="eastAsia" w:ascii="Times New Roman" w:hAnsi="Times New Roman" w:cs="Times New Roman"/>
                <w:sz w:val="20"/>
                <w:szCs w:val="20"/>
                <w:lang w:val="en-US" w:bidi="en-US"/>
              </w:rPr>
              <w:t>÷</w:t>
            </w:r>
            <w:r>
              <w:rPr>
                <w:rFonts w:ascii="Times New Roman" w:hAnsi="Times New Roman" w:eastAsia="Times New Roman" w:cs="Times New Roman"/>
                <w:sz w:val="20"/>
                <w:szCs w:val="20"/>
                <w:lang w:val="en-US" w:bidi="en-US"/>
              </w:rPr>
              <w:t>Favg)</w:t>
            </w:r>
            <w:r>
              <w:rPr>
                <w:rFonts w:hint="eastAsia" w:ascii="Times New Roman" w:hAnsi="Times New Roman" w:cs="Times New Roman"/>
                <w:sz w:val="20"/>
                <w:szCs w:val="20"/>
                <w:lang w:val="en-US"/>
              </w:rPr>
              <w:t>×30</w:t>
            </w:r>
          </w:p>
          <w:p>
            <w:pPr>
              <w:pStyle w:val="21"/>
              <w:spacing w:after="0" w:line="240" w:lineRule="exact"/>
              <w:ind w:firstLine="0"/>
              <w:rPr>
                <w:sz w:val="20"/>
                <w:szCs w:val="20"/>
                <w:lang w:val="en-US"/>
              </w:rPr>
            </w:pPr>
          </w:p>
        </w:tc>
      </w:tr>
      <w:tr>
        <w:tblPrEx>
          <w:tblCellMar>
            <w:top w:w="0" w:type="dxa"/>
            <w:left w:w="10" w:type="dxa"/>
            <w:bottom w:w="0" w:type="dxa"/>
            <w:right w:w="10" w:type="dxa"/>
          </w:tblCellMar>
        </w:tblPrEx>
        <w:trPr>
          <w:trHeight w:val="470" w:hRule="exact"/>
          <w:jc w:val="center"/>
        </w:trPr>
        <w:tc>
          <w:tcPr>
            <w:tcW w:w="864" w:type="dxa"/>
            <w:vMerge w:val="continue"/>
            <w:tcBorders>
              <w:left w:val="single" w:color="auto" w:sz="4" w:space="0"/>
              <w:right w:val="single" w:color="auto" w:sz="4" w:space="0"/>
            </w:tcBorders>
            <w:shd w:val="clear" w:color="auto" w:fill="FFFFFF"/>
            <w:vAlign w:val="center"/>
          </w:tcPr>
          <w:p>
            <w:pPr>
              <w:pStyle w:val="21"/>
              <w:spacing w:after="0" w:line="240" w:lineRule="exact"/>
              <w:ind w:firstLine="300"/>
              <w:rPr>
                <w:rFonts w:ascii="Times New Roman" w:hAnsi="Times New Roman" w:eastAsia="Times New Roman" w:cs="Times New Roman"/>
                <w:sz w:val="20"/>
                <w:szCs w:val="20"/>
              </w:rPr>
            </w:pPr>
          </w:p>
        </w:tc>
        <w:tc>
          <w:tcPr>
            <w:tcW w:w="853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rPr>
                <w:sz w:val="20"/>
                <w:szCs w:val="20"/>
                <w:lang w:val="en-US" w:eastAsia="zh-CN"/>
              </w:rPr>
            </w:pPr>
            <w:r>
              <w:rPr>
                <w:rFonts w:ascii="Times New Roman" w:hAnsi="Times New Roman" w:eastAsia="Times New Roman" w:cs="Times New Roman"/>
                <w:sz w:val="20"/>
                <w:szCs w:val="20"/>
              </w:rPr>
              <w:t>1</w:t>
            </w:r>
            <w:r>
              <w:rPr>
                <w:sz w:val="20"/>
                <w:szCs w:val="20"/>
              </w:rPr>
              <w:t>、</w:t>
            </w:r>
            <w:r>
              <w:rPr>
                <w:rFonts w:ascii="Times New Roman" w:hAnsi="Times New Roman" w:eastAsia="Times New Roman" w:cs="Times New Roman"/>
                <w:sz w:val="20"/>
                <w:szCs w:val="20"/>
                <w:lang w:val="en-US" w:eastAsia="zh-CN" w:bidi="en-US"/>
              </w:rPr>
              <w:t>F</w:t>
            </w:r>
            <w:r>
              <w:rPr>
                <w:sz w:val="20"/>
                <w:szCs w:val="20"/>
              </w:rPr>
              <w:t>为投标方的有效报价；</w:t>
            </w:r>
          </w:p>
        </w:tc>
      </w:tr>
      <w:tr>
        <w:tblPrEx>
          <w:tblCellMar>
            <w:top w:w="0" w:type="dxa"/>
            <w:left w:w="10" w:type="dxa"/>
            <w:bottom w:w="0" w:type="dxa"/>
            <w:right w:w="10" w:type="dxa"/>
          </w:tblCellMar>
        </w:tblPrEx>
        <w:trPr>
          <w:trHeight w:val="470" w:hRule="exact"/>
          <w:jc w:val="center"/>
        </w:trPr>
        <w:tc>
          <w:tcPr>
            <w:tcW w:w="864" w:type="dxa"/>
            <w:vMerge w:val="continue"/>
            <w:tcBorders>
              <w:left w:val="single" w:color="auto" w:sz="4" w:space="0"/>
              <w:right w:val="single" w:color="auto" w:sz="4" w:space="0"/>
            </w:tcBorders>
            <w:shd w:val="clear" w:color="auto" w:fill="FFFFFF"/>
            <w:vAlign w:val="center"/>
          </w:tcPr>
          <w:p>
            <w:pPr>
              <w:pStyle w:val="21"/>
              <w:spacing w:after="0" w:line="240" w:lineRule="exact"/>
              <w:ind w:firstLine="300"/>
              <w:rPr>
                <w:rFonts w:ascii="Times New Roman" w:hAnsi="Times New Roman" w:eastAsia="Times New Roman" w:cs="Times New Roman"/>
                <w:sz w:val="20"/>
                <w:szCs w:val="20"/>
              </w:rPr>
            </w:pPr>
          </w:p>
        </w:tc>
        <w:tc>
          <w:tcPr>
            <w:tcW w:w="853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rPr>
                <w:sz w:val="20"/>
                <w:szCs w:val="20"/>
                <w:lang w:val="en-US" w:eastAsia="zh-CN"/>
              </w:rPr>
            </w:pPr>
            <w:r>
              <w:rPr>
                <w:rFonts w:ascii="Times New Roman" w:hAnsi="Times New Roman" w:eastAsia="Times New Roman" w:cs="Times New Roman"/>
                <w:sz w:val="20"/>
                <w:szCs w:val="20"/>
              </w:rPr>
              <w:t>2</w:t>
            </w:r>
            <w:r>
              <w:rPr>
                <w:sz w:val="20"/>
                <w:szCs w:val="20"/>
              </w:rPr>
              <w:t>、</w:t>
            </w:r>
            <w:r>
              <w:rPr>
                <w:rFonts w:ascii="Times New Roman" w:hAnsi="Times New Roman" w:eastAsia="Times New Roman" w:cs="Times New Roman"/>
                <w:sz w:val="20"/>
                <w:szCs w:val="20"/>
                <w:lang w:val="en-US" w:eastAsia="zh-CN" w:bidi="en-US"/>
              </w:rPr>
              <w:t>Favg</w:t>
            </w:r>
            <w:r>
              <w:rPr>
                <w:sz w:val="20"/>
                <w:szCs w:val="20"/>
              </w:rPr>
              <w:t>为所有投标方有效报价的平均价；</w:t>
            </w:r>
          </w:p>
        </w:tc>
      </w:tr>
      <w:tr>
        <w:tblPrEx>
          <w:tblCellMar>
            <w:top w:w="0" w:type="dxa"/>
            <w:left w:w="10" w:type="dxa"/>
            <w:bottom w:w="0" w:type="dxa"/>
            <w:right w:w="10" w:type="dxa"/>
          </w:tblCellMar>
        </w:tblPrEx>
        <w:trPr>
          <w:trHeight w:val="470" w:hRule="exact"/>
          <w:jc w:val="center"/>
        </w:trPr>
        <w:tc>
          <w:tcPr>
            <w:tcW w:w="864" w:type="dxa"/>
            <w:vMerge w:val="continue"/>
            <w:tcBorders>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300"/>
              <w:rPr>
                <w:rFonts w:ascii="Times New Roman" w:hAnsi="Times New Roman" w:eastAsia="Times New Roman" w:cs="Times New Roman"/>
                <w:sz w:val="20"/>
                <w:szCs w:val="20"/>
              </w:rPr>
            </w:pPr>
          </w:p>
        </w:tc>
        <w:tc>
          <w:tcPr>
            <w:tcW w:w="853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rPr>
                <w:sz w:val="20"/>
                <w:szCs w:val="20"/>
                <w:lang w:val="en-US" w:eastAsia="zh-CN"/>
              </w:rPr>
            </w:pPr>
            <w:r>
              <w:rPr>
                <w:rFonts w:ascii="Times New Roman" w:hAnsi="Times New Roman" w:eastAsia="Times New Roman" w:cs="Times New Roman"/>
                <w:sz w:val="20"/>
                <w:szCs w:val="20"/>
              </w:rPr>
              <w:t>3</w:t>
            </w:r>
            <w:r>
              <w:rPr>
                <w:sz w:val="20"/>
                <w:szCs w:val="20"/>
              </w:rPr>
              <w:t>、计算分数时四舍五入取小数点后两位。</w:t>
            </w:r>
          </w:p>
        </w:tc>
      </w:tr>
      <w:tr>
        <w:tblPrEx>
          <w:tblCellMar>
            <w:top w:w="0" w:type="dxa"/>
            <w:left w:w="10" w:type="dxa"/>
            <w:bottom w:w="0" w:type="dxa"/>
            <w:right w:w="10" w:type="dxa"/>
          </w:tblCellMar>
        </w:tblPrEx>
        <w:trPr>
          <w:trHeight w:val="470" w:hRule="exact"/>
          <w:jc w:val="center"/>
        </w:trPr>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300"/>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合计</w:t>
            </w:r>
          </w:p>
        </w:tc>
        <w:tc>
          <w:tcPr>
            <w:tcW w:w="853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rPr>
                <w:sz w:val="20"/>
                <w:szCs w:val="20"/>
                <w:lang w:val="en-US" w:eastAsia="zh-CN"/>
              </w:rPr>
            </w:pPr>
            <w:r>
              <w:rPr>
                <w:rFonts w:ascii="Times New Roman" w:hAnsi="Times New Roman" w:eastAsia="Times New Roman" w:cs="Times New Roman"/>
                <w:sz w:val="20"/>
                <w:szCs w:val="20"/>
              </w:rPr>
              <w:t>商务得分+技术能力得分+价格得分</w:t>
            </w:r>
          </w:p>
        </w:tc>
      </w:tr>
    </w:tbl>
    <w:p>
      <w:pPr>
        <w:spacing w:line="240" w:lineRule="exact"/>
        <w:rPr>
          <w:sz w:val="2"/>
          <w:szCs w:val="2"/>
          <w:lang w:eastAsia="zh-CN"/>
        </w:rPr>
      </w:pPr>
      <w:r>
        <w:rPr>
          <w:lang w:eastAsia="zh-CN"/>
        </w:rPr>
        <w:br w:type="page"/>
      </w:r>
    </w:p>
    <w:p>
      <w:pPr>
        <w:pStyle w:val="11"/>
        <w:spacing w:after="0" w:line="540" w:lineRule="exact"/>
        <w:ind w:firstLine="560" w:firstLineChars="200"/>
        <w:jc w:val="both"/>
        <w:rPr>
          <w:sz w:val="28"/>
          <w:szCs w:val="28"/>
          <w:lang w:val="en-US" w:eastAsia="zh-CN" w:bidi="en-US"/>
        </w:rPr>
      </w:pPr>
      <w:r>
        <w:rPr>
          <w:sz w:val="28"/>
          <w:szCs w:val="28"/>
          <w:lang w:val="en-US" w:eastAsia="zh-CN" w:bidi="en-US"/>
        </w:rPr>
        <w:t>7.授予合同</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7.1中标通知书</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7.1.1在规定的投标有效期截止前，招标人按照有关规定向中标人发出中标通知书。</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7.1.2招标人将在发岀中标通知书的同时，将釆用电话通知或电子邮件或网络公告的方式将中标结果通知所有未中标的投标人。</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7.2合同协议书的签署</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7.2.1招标人将以书面形式向中标人发出《中标通知书》，中标人收到《中标通知书》后，按照招标文件、投标文件的内容和国家有关规定，在规定的时间、地点与招标人签订合同。</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7.2.2如经招标人对中标人投标文件进行查验后，发现其有弄虚作假行为或中标人不能按时与招标人签订合同，招标人有权取消其中标资格，并没收其投标保证金。招标人将从投标人中另选中标人。</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7.2.3中标人须于中标后10个工作日内与招标人签订合同，逾期未签合同，则视为中标人违约，招标人有权没收其投标保证金，并从投标人中另选中标人。</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7.3履约担保</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中标人所缴纳的投标保证金自合同生效之日转为履约保证金。</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8.其他事项</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8.1招标文件及中标人的投标文件是采购人与中标人签订合同的依据，中标人应严格依据投标文件所做承诺履行职责，如有违约，招标人有权根据合同釆取相应措施以保证采购的顺利进行，并追究相应违约方的违约责任。</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8.2投标人所投的标书若有其它方面的特殊功能、附加功能、增值服务及优惠条件，必须在投标文件中显著注明。</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8.3投标人应确保所提交的投标文件内容所涉知识产权完整清晰，不得影响招标人使用，否则应赔偿招标人全部损失。</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8.4投标人同意，所提交的投标文件所涉知识产权招标人有权无偿使用，且使用方式、使用内容等事项无须事先征得投标人同意，具体详见附件二。</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8.5参与本次投标所产生的所有费用由投标人自行承担。</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8.</w:t>
      </w:r>
      <w:r>
        <w:rPr>
          <w:rFonts w:hint="eastAsia"/>
          <w:sz w:val="28"/>
          <w:szCs w:val="28"/>
          <w:lang w:val="en-US" w:eastAsia="zh-CN" w:bidi="en-US"/>
        </w:rPr>
        <w:t>6</w:t>
      </w:r>
      <w:r>
        <w:rPr>
          <w:sz w:val="28"/>
          <w:szCs w:val="28"/>
          <w:lang w:val="en-US" w:eastAsia="zh-CN" w:bidi="en-US"/>
        </w:rPr>
        <w:t>有关本招标项目的它未尽事项，详见后续相关通知。</w:t>
      </w:r>
      <w:bookmarkStart w:id="35" w:name="bookmark39"/>
      <w:bookmarkStart w:id="36" w:name="bookmark38"/>
      <w:bookmarkStart w:id="37" w:name="bookmark37"/>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1"/>
        <w:spacing w:after="0" w:line="540" w:lineRule="exact"/>
        <w:ind w:firstLine="560" w:firstLineChars="200"/>
        <w:jc w:val="both"/>
        <w:rPr>
          <w:sz w:val="28"/>
          <w:szCs w:val="28"/>
          <w:lang w:val="en-US" w:eastAsia="zh-CN" w:bidi="en-US"/>
        </w:rPr>
      </w:pPr>
    </w:p>
    <w:p>
      <w:pPr>
        <w:pStyle w:val="17"/>
        <w:keepNext/>
        <w:keepLines/>
        <w:spacing w:after="540"/>
      </w:pPr>
      <w:r>
        <w:t>第二章合同主要条款</w:t>
      </w:r>
      <w:bookmarkEnd w:id="35"/>
    </w:p>
    <w:p>
      <w:pPr>
        <w:pStyle w:val="11"/>
        <w:spacing w:after="0" w:line="540" w:lineRule="exact"/>
        <w:ind w:firstLine="560" w:firstLineChars="200"/>
        <w:jc w:val="right"/>
        <w:rPr>
          <w:sz w:val="28"/>
          <w:szCs w:val="28"/>
          <w:lang w:val="en-US" w:eastAsia="zh-CN" w:bidi="en-US"/>
        </w:rPr>
      </w:pPr>
      <w:bookmarkStart w:id="38" w:name="bookmark40"/>
      <w:r>
        <w:rPr>
          <w:rFonts w:hint="eastAsia"/>
          <w:sz w:val="28"/>
          <w:szCs w:val="28"/>
          <w:lang w:val="en-US" w:eastAsia="zh-CN" w:bidi="en-US"/>
        </w:rPr>
        <w:t>合同签订地：厦门市思明区</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第一条：说明</w:t>
      </w:r>
      <w:bookmarkEnd w:id="36"/>
      <w:bookmarkEnd w:id="37"/>
      <w:bookmarkEnd w:id="38"/>
    </w:p>
    <w:p>
      <w:pPr>
        <w:pStyle w:val="11"/>
        <w:spacing w:after="0" w:line="540" w:lineRule="exact"/>
        <w:ind w:firstLine="560" w:firstLineChars="200"/>
        <w:jc w:val="both"/>
        <w:rPr>
          <w:sz w:val="28"/>
          <w:szCs w:val="28"/>
          <w:lang w:val="en-US" w:eastAsia="zh-CN" w:bidi="en-US"/>
        </w:rPr>
      </w:pPr>
      <w:r>
        <w:rPr>
          <w:sz w:val="28"/>
          <w:szCs w:val="28"/>
          <w:lang w:val="en-US" w:eastAsia="zh-CN" w:bidi="en-US"/>
        </w:rPr>
        <w:t>合同条款是</w:t>
      </w:r>
      <w:r>
        <w:rPr>
          <w:rFonts w:hint="eastAsia"/>
          <w:sz w:val="28"/>
          <w:szCs w:val="28"/>
          <w:lang w:val="en-US" w:eastAsia="zh-CN" w:bidi="en-US"/>
        </w:rPr>
        <w:t>启润轮胎（日照）有限公司</w:t>
      </w:r>
      <w:r>
        <w:rPr>
          <w:sz w:val="28"/>
          <w:szCs w:val="28"/>
          <w:lang w:val="en-US" w:eastAsia="zh-CN" w:bidi="en-US"/>
        </w:rPr>
        <w:t>（以下简称</w:t>
      </w:r>
      <w:r>
        <w:rPr>
          <w:rFonts w:hint="eastAsia"/>
          <w:sz w:val="28"/>
          <w:szCs w:val="28"/>
          <w:lang w:val="en-US" w:eastAsia="zh-CN" w:bidi="en-US"/>
        </w:rPr>
        <w:t>招标方或甲方</w:t>
      </w:r>
      <w:r>
        <w:rPr>
          <w:sz w:val="28"/>
          <w:szCs w:val="28"/>
          <w:lang w:val="en-US" w:eastAsia="zh-CN" w:bidi="en-US"/>
        </w:rPr>
        <w:t>）和中标供应商（以下简称</w:t>
      </w:r>
      <w:r>
        <w:rPr>
          <w:rFonts w:hint="eastAsia"/>
          <w:sz w:val="28"/>
          <w:szCs w:val="28"/>
          <w:lang w:val="en-US" w:eastAsia="zh-CN" w:bidi="en-US"/>
        </w:rPr>
        <w:t>中标方或乙方</w:t>
      </w:r>
      <w:r>
        <w:rPr>
          <w:sz w:val="28"/>
          <w:szCs w:val="28"/>
          <w:lang w:val="en-US" w:eastAsia="zh-CN" w:bidi="en-US"/>
        </w:rPr>
        <w:t>）应共同遵守的基本原则，并作为双方签约的依据。对于合同其它条款，双方在商务谈判中协商解决。</w:t>
      </w:r>
    </w:p>
    <w:p>
      <w:pPr>
        <w:pStyle w:val="11"/>
        <w:spacing w:after="0" w:line="540" w:lineRule="exact"/>
        <w:ind w:firstLine="560" w:firstLineChars="200"/>
        <w:jc w:val="both"/>
        <w:rPr>
          <w:sz w:val="28"/>
          <w:szCs w:val="28"/>
          <w:lang w:val="en-US" w:eastAsia="zh-CN" w:bidi="en-US"/>
        </w:rPr>
      </w:pPr>
      <w:bookmarkStart w:id="39" w:name="bookmark43"/>
      <w:bookmarkStart w:id="40" w:name="bookmark41"/>
      <w:bookmarkStart w:id="41" w:name="bookmark42"/>
      <w:r>
        <w:rPr>
          <w:sz w:val="28"/>
          <w:szCs w:val="28"/>
          <w:lang w:val="en-US" w:eastAsia="zh-CN" w:bidi="en-US"/>
        </w:rPr>
        <w:t>第二条：本合同构成及项目内容</w:t>
      </w:r>
      <w:bookmarkEnd w:id="39"/>
      <w:bookmarkEnd w:id="40"/>
      <w:bookmarkEnd w:id="41"/>
    </w:p>
    <w:p>
      <w:pPr>
        <w:pStyle w:val="11"/>
        <w:spacing w:after="0" w:line="540" w:lineRule="exact"/>
        <w:ind w:firstLine="560" w:firstLineChars="200"/>
        <w:jc w:val="both"/>
        <w:rPr>
          <w:sz w:val="28"/>
          <w:szCs w:val="28"/>
          <w:lang w:val="en-US" w:eastAsia="zh-CN" w:bidi="en-US"/>
        </w:rPr>
      </w:pPr>
      <w:r>
        <w:rPr>
          <w:sz w:val="28"/>
          <w:szCs w:val="28"/>
          <w:lang w:val="en-US" w:eastAsia="zh-CN" w:bidi="en-US"/>
        </w:rPr>
        <w:t>本项目的招标文件（项目编号：GMGYL-202</w:t>
      </w:r>
      <w:r>
        <w:rPr>
          <w:rFonts w:hint="eastAsia"/>
          <w:sz w:val="28"/>
          <w:szCs w:val="28"/>
          <w:lang w:val="en-US" w:eastAsia="zh-CN" w:bidi="en-US"/>
        </w:rPr>
        <w:t>2</w:t>
      </w:r>
      <w:r>
        <w:rPr>
          <w:sz w:val="28"/>
          <w:szCs w:val="28"/>
          <w:lang w:val="en-US" w:eastAsia="zh-CN" w:bidi="en-US"/>
        </w:rPr>
        <w:t>0</w:t>
      </w:r>
      <w:r>
        <w:rPr>
          <w:rFonts w:hint="eastAsia"/>
          <w:sz w:val="28"/>
          <w:szCs w:val="28"/>
          <w:lang w:val="en-US" w:eastAsia="zh-CN" w:bidi="en-US"/>
        </w:rPr>
        <w:t>5</w:t>
      </w:r>
      <w:r>
        <w:rPr>
          <w:sz w:val="28"/>
          <w:szCs w:val="28"/>
          <w:lang w:val="en-US" w:eastAsia="zh-CN" w:bidi="en-US"/>
        </w:rPr>
        <w:t>）及</w:t>
      </w:r>
      <w:r>
        <w:rPr>
          <w:rFonts w:hint="eastAsia"/>
          <w:sz w:val="28"/>
          <w:szCs w:val="28"/>
          <w:lang w:val="en-US" w:eastAsia="zh-CN" w:bidi="en-US"/>
        </w:rPr>
        <w:t>中标方</w:t>
      </w:r>
      <w:r>
        <w:rPr>
          <w:sz w:val="28"/>
          <w:szCs w:val="28"/>
          <w:lang w:val="en-US" w:eastAsia="zh-CN" w:bidi="en-US"/>
        </w:rPr>
        <w:t>的投标文件（项目编号：GMGYL-202</w:t>
      </w:r>
      <w:r>
        <w:rPr>
          <w:rFonts w:hint="eastAsia"/>
          <w:sz w:val="28"/>
          <w:szCs w:val="28"/>
          <w:lang w:val="en-US" w:eastAsia="zh-CN" w:bidi="en-US"/>
        </w:rPr>
        <w:t>2</w:t>
      </w:r>
      <w:r>
        <w:rPr>
          <w:sz w:val="28"/>
          <w:szCs w:val="28"/>
          <w:lang w:val="en-US" w:eastAsia="zh-CN" w:bidi="en-US"/>
        </w:rPr>
        <w:t>0</w:t>
      </w:r>
      <w:r>
        <w:rPr>
          <w:rFonts w:hint="eastAsia"/>
          <w:sz w:val="28"/>
          <w:szCs w:val="28"/>
          <w:lang w:val="en-US" w:eastAsia="zh-CN" w:bidi="en-US"/>
        </w:rPr>
        <w:t>5</w:t>
      </w:r>
      <w:r>
        <w:rPr>
          <w:sz w:val="28"/>
          <w:szCs w:val="28"/>
          <w:lang w:val="en-US" w:eastAsia="zh-CN" w:bidi="en-US"/>
        </w:rPr>
        <w:t>）为本合同的组成部分，</w:t>
      </w:r>
      <w:r>
        <w:rPr>
          <w:rFonts w:hint="eastAsia"/>
          <w:sz w:val="28"/>
          <w:szCs w:val="28"/>
          <w:lang w:val="en-US" w:eastAsia="zh-CN" w:bidi="en-US"/>
        </w:rPr>
        <w:t>中标方</w:t>
      </w:r>
      <w:r>
        <w:rPr>
          <w:sz w:val="28"/>
          <w:szCs w:val="28"/>
          <w:lang w:val="en-US" w:eastAsia="zh-CN" w:bidi="en-US"/>
        </w:rPr>
        <w:t>应当根据招标文件要求和投标承诺履行相关义务。</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双方均已知悉上述附件的内容。</w:t>
      </w:r>
      <w:r>
        <w:rPr>
          <w:rFonts w:hint="eastAsia"/>
          <w:sz w:val="28"/>
          <w:szCs w:val="28"/>
          <w:lang w:val="en-US" w:eastAsia="zh-CN" w:bidi="en-US"/>
        </w:rPr>
        <w:t>中标方</w:t>
      </w:r>
      <w:r>
        <w:rPr>
          <w:sz w:val="28"/>
          <w:szCs w:val="28"/>
          <w:lang w:val="en-US" w:eastAsia="zh-CN" w:bidi="en-US"/>
        </w:rPr>
        <w:t>同意按照本合同和上述附件的规定提供产品服务，</w:t>
      </w:r>
      <w:r>
        <w:rPr>
          <w:rFonts w:hint="eastAsia"/>
          <w:sz w:val="28"/>
          <w:szCs w:val="28"/>
          <w:lang w:val="en-US" w:eastAsia="zh-CN" w:bidi="en-US"/>
        </w:rPr>
        <w:t>招标方</w:t>
      </w:r>
      <w:r>
        <w:rPr>
          <w:sz w:val="28"/>
          <w:szCs w:val="28"/>
          <w:lang w:val="en-US" w:eastAsia="zh-CN" w:bidi="en-US"/>
        </w:rPr>
        <w:t>同意接受该产品服务。</w:t>
      </w:r>
      <w:bookmarkStart w:id="42" w:name="bookmark45"/>
      <w:bookmarkStart w:id="43" w:name="bookmark44"/>
      <w:bookmarkStart w:id="44" w:name="bookmark46"/>
    </w:p>
    <w:p>
      <w:pPr>
        <w:pStyle w:val="11"/>
        <w:spacing w:after="0" w:line="540" w:lineRule="exact"/>
        <w:ind w:firstLine="560" w:firstLineChars="200"/>
        <w:jc w:val="both"/>
        <w:rPr>
          <w:sz w:val="28"/>
          <w:szCs w:val="28"/>
          <w:lang w:val="en-US" w:eastAsia="zh-CN" w:bidi="en-US"/>
        </w:rPr>
      </w:pPr>
      <w:r>
        <w:rPr>
          <w:sz w:val="28"/>
          <w:szCs w:val="28"/>
          <w:lang w:val="en-US" w:eastAsia="zh-CN" w:bidi="en-US"/>
        </w:rPr>
        <w:t>第三条：服务价格</w:t>
      </w:r>
      <w:bookmarkEnd w:id="42"/>
      <w:bookmarkEnd w:id="43"/>
      <w:bookmarkEnd w:id="44"/>
    </w:p>
    <w:p>
      <w:pPr>
        <w:pStyle w:val="11"/>
        <w:spacing w:after="0" w:line="540" w:lineRule="exact"/>
        <w:ind w:firstLine="560" w:firstLineChars="200"/>
        <w:jc w:val="both"/>
        <w:rPr>
          <w:sz w:val="28"/>
          <w:szCs w:val="28"/>
          <w:lang w:val="en-US" w:eastAsia="zh-CN" w:bidi="en-US"/>
        </w:rPr>
      </w:pPr>
      <w:r>
        <w:rPr>
          <w:sz w:val="28"/>
          <w:szCs w:val="28"/>
          <w:lang w:val="en-US" w:eastAsia="zh-CN" w:bidi="en-US"/>
        </w:rPr>
        <w:t>3.1</w:t>
      </w:r>
      <w:r>
        <w:rPr>
          <w:rFonts w:hint="eastAsia"/>
          <w:sz w:val="28"/>
          <w:szCs w:val="28"/>
          <w:lang w:val="en-US" w:eastAsia="zh-CN" w:bidi="en-US"/>
        </w:rPr>
        <w:t>中</w:t>
      </w:r>
      <w:r>
        <w:rPr>
          <w:sz w:val="28"/>
          <w:szCs w:val="28"/>
          <w:lang w:val="en-US" w:eastAsia="zh-CN" w:bidi="en-US"/>
        </w:rPr>
        <w:t>标人必须提供</w:t>
      </w:r>
      <w:r>
        <w:rPr>
          <w:rFonts w:hint="eastAsia"/>
          <w:sz w:val="28"/>
          <w:szCs w:val="28"/>
          <w:lang w:val="en-US" w:eastAsia="zh-CN" w:bidi="en-US"/>
        </w:rPr>
        <w:t>热力供应参数及价格</w:t>
      </w:r>
      <w:r>
        <w:rPr>
          <w:sz w:val="28"/>
          <w:szCs w:val="28"/>
          <w:lang w:val="en-US" w:eastAsia="zh-CN" w:bidi="en-US"/>
        </w:rPr>
        <w:t>，样式参照如下（</w:t>
      </w:r>
      <w:r>
        <w:rPr>
          <w:rFonts w:hint="eastAsia"/>
          <w:sz w:val="28"/>
          <w:szCs w:val="28"/>
          <w:lang w:val="en-US" w:eastAsia="zh-CN" w:bidi="en-US"/>
        </w:rPr>
        <w:t>价格</w:t>
      </w:r>
      <w:r>
        <w:rPr>
          <w:sz w:val="28"/>
          <w:szCs w:val="28"/>
          <w:lang w:val="en-US" w:eastAsia="zh-CN" w:bidi="en-US"/>
        </w:rPr>
        <w:t>为含税费用）</w:t>
      </w:r>
    </w:p>
    <w:tbl>
      <w:tblPr>
        <w:tblStyle w:val="5"/>
        <w:tblW w:w="0" w:type="auto"/>
        <w:jc w:val="center"/>
        <w:tblLayout w:type="fixed"/>
        <w:tblCellMar>
          <w:top w:w="0" w:type="dxa"/>
          <w:left w:w="10" w:type="dxa"/>
          <w:bottom w:w="0" w:type="dxa"/>
          <w:right w:w="10" w:type="dxa"/>
        </w:tblCellMar>
      </w:tblPr>
      <w:tblGrid>
        <w:gridCol w:w="2261"/>
        <w:gridCol w:w="2599"/>
        <w:gridCol w:w="2916"/>
      </w:tblGrid>
      <w:tr>
        <w:tblPrEx>
          <w:tblCellMar>
            <w:top w:w="0" w:type="dxa"/>
            <w:left w:w="10" w:type="dxa"/>
            <w:bottom w:w="0" w:type="dxa"/>
            <w:right w:w="10" w:type="dxa"/>
          </w:tblCellMar>
        </w:tblPrEx>
        <w:trPr>
          <w:trHeight w:val="403" w:hRule="exact"/>
          <w:jc w:val="center"/>
        </w:trPr>
        <w:tc>
          <w:tcPr>
            <w:tcW w:w="2261"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项目</w:t>
            </w:r>
          </w:p>
        </w:tc>
        <w:tc>
          <w:tcPr>
            <w:tcW w:w="2599"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单位</w:t>
            </w:r>
          </w:p>
        </w:tc>
        <w:tc>
          <w:tcPr>
            <w:tcW w:w="2916"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数值</w:t>
            </w:r>
          </w:p>
        </w:tc>
      </w:tr>
      <w:tr>
        <w:tblPrEx>
          <w:tblCellMar>
            <w:top w:w="0" w:type="dxa"/>
            <w:left w:w="10" w:type="dxa"/>
            <w:bottom w:w="0" w:type="dxa"/>
            <w:right w:w="10" w:type="dxa"/>
          </w:tblCellMar>
        </w:tblPrEx>
        <w:trPr>
          <w:trHeight w:val="389" w:hRule="exact"/>
          <w:jc w:val="center"/>
        </w:trPr>
        <w:tc>
          <w:tcPr>
            <w:tcW w:w="2261"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蒸汽压力</w:t>
            </w:r>
          </w:p>
        </w:tc>
        <w:tc>
          <w:tcPr>
            <w:tcW w:w="2599"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MPA</w:t>
            </w:r>
          </w:p>
        </w:tc>
        <w:tc>
          <w:tcPr>
            <w:tcW w:w="2916"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sz w:val="20"/>
                <w:szCs w:val="20"/>
                <w:lang w:val="en-US" w:eastAsia="zh-CN"/>
              </w:rPr>
            </w:pPr>
          </w:p>
        </w:tc>
      </w:tr>
      <w:tr>
        <w:tblPrEx>
          <w:tblCellMar>
            <w:top w:w="0" w:type="dxa"/>
            <w:left w:w="10" w:type="dxa"/>
            <w:bottom w:w="0" w:type="dxa"/>
            <w:right w:w="10" w:type="dxa"/>
          </w:tblCellMar>
        </w:tblPrEx>
        <w:trPr>
          <w:trHeight w:val="306" w:hRule="exact"/>
          <w:jc w:val="center"/>
        </w:trPr>
        <w:tc>
          <w:tcPr>
            <w:tcW w:w="2261"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蒸汽温度</w:t>
            </w:r>
          </w:p>
        </w:tc>
        <w:tc>
          <w:tcPr>
            <w:tcW w:w="2599"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w:t>
            </w:r>
          </w:p>
        </w:tc>
        <w:tc>
          <w:tcPr>
            <w:tcW w:w="2916"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sz w:val="20"/>
                <w:szCs w:val="20"/>
                <w:lang w:val="en-US" w:eastAsia="zh-CN"/>
              </w:rPr>
            </w:pPr>
          </w:p>
        </w:tc>
      </w:tr>
      <w:tr>
        <w:tblPrEx>
          <w:tblCellMar>
            <w:top w:w="0" w:type="dxa"/>
            <w:left w:w="10" w:type="dxa"/>
            <w:bottom w:w="0" w:type="dxa"/>
            <w:right w:w="10" w:type="dxa"/>
          </w:tblCellMar>
        </w:tblPrEx>
        <w:trPr>
          <w:trHeight w:val="389" w:hRule="exact"/>
          <w:jc w:val="center"/>
        </w:trPr>
        <w:tc>
          <w:tcPr>
            <w:tcW w:w="2261"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蒸汽价格</w:t>
            </w:r>
          </w:p>
        </w:tc>
        <w:tc>
          <w:tcPr>
            <w:tcW w:w="2599"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元/吨</w:t>
            </w:r>
          </w:p>
        </w:tc>
        <w:tc>
          <w:tcPr>
            <w:tcW w:w="2916"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sz w:val="20"/>
                <w:szCs w:val="20"/>
                <w:lang w:val="en-US" w:eastAsia="zh-CN"/>
              </w:rPr>
            </w:pPr>
          </w:p>
        </w:tc>
      </w:tr>
      <w:tr>
        <w:tblPrEx>
          <w:tblCellMar>
            <w:top w:w="0" w:type="dxa"/>
            <w:left w:w="10" w:type="dxa"/>
            <w:bottom w:w="0" w:type="dxa"/>
            <w:right w:w="10" w:type="dxa"/>
          </w:tblCellMar>
        </w:tblPrEx>
        <w:trPr>
          <w:trHeight w:val="389" w:hRule="exact"/>
          <w:jc w:val="center"/>
        </w:trPr>
        <w:tc>
          <w:tcPr>
            <w:tcW w:w="2261"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最低供汽量</w:t>
            </w:r>
          </w:p>
        </w:tc>
        <w:tc>
          <w:tcPr>
            <w:tcW w:w="2599"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吨/年</w:t>
            </w:r>
          </w:p>
        </w:tc>
        <w:tc>
          <w:tcPr>
            <w:tcW w:w="2916"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sz w:val="20"/>
                <w:szCs w:val="20"/>
                <w:lang w:val="en-US" w:eastAsia="zh-CN"/>
              </w:rPr>
            </w:pPr>
          </w:p>
        </w:tc>
      </w:tr>
      <w:tr>
        <w:tblPrEx>
          <w:tblCellMar>
            <w:top w:w="0" w:type="dxa"/>
            <w:left w:w="10" w:type="dxa"/>
            <w:bottom w:w="0" w:type="dxa"/>
            <w:right w:w="10" w:type="dxa"/>
          </w:tblCellMar>
        </w:tblPrEx>
        <w:trPr>
          <w:trHeight w:val="580" w:hRule="exact"/>
          <w:jc w:val="center"/>
        </w:trPr>
        <w:tc>
          <w:tcPr>
            <w:tcW w:w="2261" w:type="dxa"/>
            <w:tcBorders>
              <w:top w:val="single" w:color="auto" w:sz="4" w:space="0"/>
              <w:left w:val="single" w:color="auto" w:sz="4" w:space="0"/>
              <w:bottom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智慧能源服务系统</w:t>
            </w:r>
          </w:p>
          <w:p>
            <w:pPr>
              <w:pStyle w:val="21"/>
              <w:spacing w:after="0" w:line="240" w:lineRule="auto"/>
              <w:ind w:firstLine="0"/>
              <w:jc w:val="center"/>
              <w:rPr>
                <w:sz w:val="20"/>
                <w:szCs w:val="20"/>
                <w:lang w:val="en-US" w:eastAsia="zh-CN"/>
              </w:rPr>
            </w:pPr>
            <w:r>
              <w:rPr>
                <w:rFonts w:hint="eastAsia"/>
                <w:sz w:val="20"/>
                <w:szCs w:val="20"/>
                <w:lang w:val="en-US" w:eastAsia="zh-CN"/>
              </w:rPr>
              <w:t>监视控制点位</w:t>
            </w:r>
          </w:p>
        </w:tc>
        <w:tc>
          <w:tcPr>
            <w:tcW w:w="2599" w:type="dxa"/>
            <w:tcBorders>
              <w:top w:val="single" w:color="auto" w:sz="4" w:space="0"/>
              <w:left w:val="single" w:color="auto" w:sz="4" w:space="0"/>
              <w:bottom w:val="single" w:color="auto" w:sz="4" w:space="0"/>
            </w:tcBorders>
            <w:shd w:val="clear" w:color="auto" w:fill="FFFFFF"/>
            <w:vAlign w:val="center"/>
          </w:tcPr>
          <w:p>
            <w:pPr>
              <w:pStyle w:val="21"/>
              <w:spacing w:after="0" w:line="240" w:lineRule="auto"/>
              <w:ind w:firstLine="0"/>
              <w:jc w:val="center"/>
              <w:rPr>
                <w:sz w:val="20"/>
                <w:szCs w:val="20"/>
                <w:lang w:val="en-US" w:eastAsia="zh-CN"/>
              </w:rPr>
            </w:pPr>
            <w:r>
              <w:rPr>
                <w:rFonts w:hint="eastAsia"/>
                <w:sz w:val="20"/>
                <w:szCs w:val="20"/>
                <w:lang w:val="en-US" w:eastAsia="zh-CN"/>
              </w:rPr>
              <w:t>个</w:t>
            </w:r>
          </w:p>
        </w:tc>
        <w:tc>
          <w:tcPr>
            <w:tcW w:w="29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auto"/>
              <w:ind w:firstLine="0"/>
              <w:jc w:val="center"/>
              <w:rPr>
                <w:sz w:val="20"/>
                <w:szCs w:val="20"/>
                <w:lang w:val="en-US" w:eastAsia="zh-CN"/>
              </w:rPr>
            </w:pPr>
          </w:p>
        </w:tc>
      </w:tr>
    </w:tbl>
    <w:p>
      <w:pPr>
        <w:spacing w:after="659" w:line="1" w:lineRule="exact"/>
      </w:pPr>
    </w:p>
    <w:p>
      <w:pPr>
        <w:pStyle w:val="11"/>
        <w:spacing w:after="0" w:line="540" w:lineRule="exact"/>
        <w:ind w:firstLine="560" w:firstLineChars="200"/>
        <w:jc w:val="both"/>
        <w:rPr>
          <w:sz w:val="28"/>
          <w:szCs w:val="28"/>
          <w:lang w:val="en-US" w:eastAsia="zh-CN" w:bidi="en-US"/>
        </w:rPr>
      </w:pPr>
      <w:r>
        <w:rPr>
          <w:sz w:val="28"/>
          <w:szCs w:val="28"/>
          <w:lang w:val="en-US" w:eastAsia="zh-CN" w:bidi="en-US"/>
        </w:rPr>
        <w:t>3.2</w:t>
      </w:r>
      <w:r>
        <w:rPr>
          <w:rFonts w:hint="eastAsia"/>
          <w:sz w:val="28"/>
          <w:szCs w:val="28"/>
          <w:lang w:val="en-US" w:eastAsia="zh-CN" w:bidi="en-US"/>
        </w:rPr>
        <w:t>中</w:t>
      </w:r>
      <w:r>
        <w:rPr>
          <w:sz w:val="28"/>
          <w:szCs w:val="28"/>
          <w:lang w:val="en-US" w:eastAsia="zh-CN" w:bidi="en-US"/>
        </w:rPr>
        <w:t>标人提供项目验收后，如果招标方新增需求，</w:t>
      </w:r>
      <w:r>
        <w:rPr>
          <w:rFonts w:hint="eastAsia"/>
          <w:sz w:val="28"/>
          <w:szCs w:val="28"/>
          <w:lang w:val="en-US" w:eastAsia="zh-CN" w:bidi="en-US"/>
        </w:rPr>
        <w:t>中</w:t>
      </w:r>
      <w:r>
        <w:rPr>
          <w:sz w:val="28"/>
          <w:szCs w:val="28"/>
          <w:lang w:val="en-US" w:eastAsia="zh-CN" w:bidi="en-US"/>
        </w:rPr>
        <w:t>标人承诺的每工作人天的费用，表格样式自拟。</w:t>
      </w:r>
    </w:p>
    <w:p>
      <w:pPr>
        <w:pStyle w:val="11"/>
        <w:spacing w:after="0" w:line="540" w:lineRule="exact"/>
        <w:ind w:firstLine="560" w:firstLineChars="200"/>
        <w:jc w:val="both"/>
        <w:rPr>
          <w:sz w:val="28"/>
          <w:szCs w:val="28"/>
          <w:lang w:val="en-US" w:eastAsia="zh-CN" w:bidi="en-US"/>
        </w:rPr>
      </w:pPr>
      <w:bookmarkStart w:id="45" w:name="bookmark47"/>
      <w:bookmarkStart w:id="46" w:name="bookmark48"/>
      <w:bookmarkStart w:id="47" w:name="bookmark49"/>
      <w:r>
        <w:rPr>
          <w:sz w:val="28"/>
          <w:szCs w:val="28"/>
          <w:lang w:val="en-US" w:eastAsia="zh-CN" w:bidi="en-US"/>
        </w:rPr>
        <w:t>第四条：付款方式</w:t>
      </w:r>
      <w:bookmarkEnd w:id="45"/>
      <w:bookmarkEnd w:id="46"/>
      <w:bookmarkEnd w:id="47"/>
    </w:p>
    <w:p>
      <w:pPr>
        <w:pStyle w:val="11"/>
        <w:spacing w:after="0" w:line="540" w:lineRule="exact"/>
        <w:ind w:firstLine="560" w:firstLineChars="200"/>
        <w:jc w:val="both"/>
        <w:rPr>
          <w:sz w:val="28"/>
          <w:szCs w:val="28"/>
          <w:lang w:val="en-US" w:eastAsia="zh-CN" w:bidi="en-US"/>
        </w:rPr>
      </w:pPr>
      <w:r>
        <w:rPr>
          <w:sz w:val="28"/>
          <w:szCs w:val="28"/>
          <w:lang w:val="en-US" w:eastAsia="zh-CN" w:bidi="en-US"/>
        </w:rPr>
        <w:t>4.1本合同生效</w:t>
      </w:r>
      <w:r>
        <w:rPr>
          <w:rFonts w:hint="eastAsia"/>
          <w:sz w:val="28"/>
          <w:szCs w:val="28"/>
          <w:lang w:val="en-US" w:eastAsia="zh-CN" w:bidi="en-US"/>
        </w:rPr>
        <w:t>，每月25日10：00双方共同读表确认当月实际用量，之后中标方开具当期双方无异议的蒸汽费全额增值税发票(税率9%)给招标方，招标方收到发票后3天内支付蒸汽费给中标方。</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4.</w:t>
      </w:r>
      <w:r>
        <w:rPr>
          <w:rFonts w:hint="eastAsia"/>
          <w:sz w:val="28"/>
          <w:szCs w:val="28"/>
          <w:lang w:val="en-US" w:eastAsia="zh-CN" w:bidi="en-US"/>
        </w:rPr>
        <w:t>2计量装置出现异常或因种种原因无法正常计量等故障时（计量装置出现异常经双方或当地法定计量测试所认定），以故障前七日（七个正常用汽自然日）的平均用汽量作为结算依据。</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4.</w:t>
      </w:r>
      <w:r>
        <w:rPr>
          <w:rFonts w:hint="eastAsia"/>
          <w:sz w:val="28"/>
          <w:szCs w:val="28"/>
          <w:lang w:val="en-US" w:eastAsia="zh-CN" w:bidi="en-US"/>
        </w:rPr>
        <w:t>3中标方</w:t>
      </w:r>
      <w:r>
        <w:rPr>
          <w:sz w:val="28"/>
          <w:szCs w:val="28"/>
          <w:lang w:val="en-US" w:eastAsia="zh-CN" w:bidi="en-US"/>
        </w:rPr>
        <w:t>应以转账方式将本合同项下的各阶段费用支付至</w:t>
      </w:r>
      <w:r>
        <w:rPr>
          <w:rFonts w:hint="eastAsia"/>
          <w:sz w:val="28"/>
          <w:szCs w:val="28"/>
          <w:lang w:val="en-US" w:eastAsia="zh-CN" w:bidi="en-US"/>
        </w:rPr>
        <w:t>招标方</w:t>
      </w:r>
      <w:r>
        <w:rPr>
          <w:sz w:val="28"/>
          <w:szCs w:val="28"/>
          <w:lang w:val="en-US" w:eastAsia="zh-CN" w:bidi="en-US"/>
        </w:rPr>
        <w:t>如下银行账户:</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公司名称：</w:t>
      </w:r>
      <w:r>
        <w:rPr>
          <w:rFonts w:hint="eastAsia"/>
          <w:sz w:val="28"/>
          <w:szCs w:val="28"/>
          <w:lang w:val="en-US" w:eastAsia="zh-CN" w:bidi="en-US"/>
        </w:rPr>
        <w:t>启润轮胎（日照）有限公司</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开户银行：</w:t>
      </w:r>
      <w:r>
        <w:rPr>
          <w:rFonts w:hint="eastAsia"/>
          <w:sz w:val="28"/>
          <w:szCs w:val="28"/>
          <w:lang w:val="en-US" w:eastAsia="zh-CN" w:bidi="en-US"/>
        </w:rPr>
        <w:t>山东五莲农村商业银行股份有限公司营业部</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银行账号：</w:t>
      </w:r>
      <w:r>
        <w:rPr>
          <w:rFonts w:hint="eastAsia"/>
          <w:sz w:val="28"/>
          <w:szCs w:val="28"/>
          <w:lang w:val="en-US" w:eastAsia="zh-CN" w:bidi="en-US"/>
        </w:rPr>
        <w:t>9110111030142050000406</w:t>
      </w:r>
    </w:p>
    <w:p>
      <w:pPr>
        <w:pStyle w:val="11"/>
        <w:spacing w:after="0" w:line="540" w:lineRule="exact"/>
        <w:ind w:firstLine="560" w:firstLineChars="200"/>
        <w:jc w:val="both"/>
        <w:rPr>
          <w:sz w:val="28"/>
          <w:szCs w:val="28"/>
          <w:lang w:val="en-US" w:eastAsia="zh-CN" w:bidi="en-US"/>
        </w:rPr>
      </w:pPr>
      <w:bookmarkStart w:id="48" w:name="bookmark50"/>
      <w:bookmarkStart w:id="49" w:name="bookmark51"/>
      <w:bookmarkStart w:id="50" w:name="bookmark52"/>
      <w:r>
        <w:rPr>
          <w:sz w:val="28"/>
          <w:szCs w:val="28"/>
          <w:lang w:val="en-US" w:eastAsia="zh-CN" w:bidi="en-US"/>
        </w:rPr>
        <w:t>第五条：</w:t>
      </w:r>
      <w:r>
        <w:rPr>
          <w:rFonts w:hint="eastAsia"/>
          <w:sz w:val="28"/>
          <w:szCs w:val="28"/>
          <w:lang w:val="en-US" w:eastAsia="zh-CN" w:bidi="en-US"/>
        </w:rPr>
        <w:t>中标</w:t>
      </w:r>
      <w:r>
        <w:rPr>
          <w:sz w:val="28"/>
          <w:szCs w:val="28"/>
          <w:lang w:val="en-US" w:eastAsia="zh-CN" w:bidi="en-US"/>
        </w:rPr>
        <w:t>方责任和权利</w:t>
      </w:r>
      <w:bookmarkEnd w:id="48"/>
      <w:bookmarkEnd w:id="49"/>
      <w:bookmarkEnd w:id="50"/>
    </w:p>
    <w:p>
      <w:pPr>
        <w:pStyle w:val="11"/>
        <w:spacing w:after="0" w:line="540" w:lineRule="exact"/>
        <w:ind w:firstLine="560" w:firstLineChars="200"/>
        <w:jc w:val="both"/>
        <w:rPr>
          <w:sz w:val="28"/>
          <w:szCs w:val="28"/>
          <w:lang w:val="en-US" w:eastAsia="zh-CN" w:bidi="en-US"/>
        </w:rPr>
      </w:pPr>
      <w:bookmarkStart w:id="51" w:name="bookmark53"/>
      <w:bookmarkStart w:id="52" w:name="bookmark55"/>
      <w:bookmarkStart w:id="53" w:name="bookmark54"/>
      <w:r>
        <w:rPr>
          <w:rFonts w:hint="eastAsia"/>
          <w:sz w:val="28"/>
          <w:szCs w:val="28"/>
          <w:lang w:val="en-US" w:eastAsia="zh-CN" w:bidi="en-US"/>
        </w:rPr>
        <w:t>5.1双方设施产权分界点之前（蒸汽流量表向投标方主蒸汽管道方向）供热设施安全责任由中标方承担；双方设施产权分界点之后（蒸汽流量表向招标方生产车间方向）供热设施安全责任由招标方承担。</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5.2中标方有义务按照合同约定的数量、质量和使用范围向招标方供热，并监督招标方在合同约定的用热地点、数量、范围内用热。</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5.3中标方产权范围内的供热设施出现故障，不能正常供热或者停热8个小时以上的，中标方应当通知招标方，并立即组织抢修，及时恢复供热。除事故停机，中标方因按计划检修供热设施而不能供热时，应提前24小时通知招标方。</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5.4因中标方原因导致供热设施故障不能正常供热，中标方应8小时以内通知招标方，并在48小时内恢复供热，否则中标方应赔偿招标方损失。</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5.5中标方不承担不可抗力、突发性事件、经济纠纷或政府行为造成的停热损失。</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5.6中标方保证在运营过程中的环保检测结果须满足政府监管部门的监控标准。如满足不了造成的生产影响及损失需投标方补偿。</w:t>
      </w:r>
    </w:p>
    <w:p>
      <w:pPr>
        <w:pStyle w:val="11"/>
        <w:spacing w:after="0" w:line="540" w:lineRule="exact"/>
        <w:ind w:firstLine="560" w:firstLineChars="200"/>
        <w:jc w:val="both"/>
        <w:rPr>
          <w:sz w:val="28"/>
          <w:szCs w:val="28"/>
          <w:lang w:val="en-US" w:eastAsia="zh-CN" w:bidi="en-US"/>
        </w:rPr>
      </w:pPr>
      <w:r>
        <w:rPr>
          <w:sz w:val="28"/>
          <w:szCs w:val="28"/>
          <w:lang w:val="en-US" w:eastAsia="zh-CN" w:bidi="en-US"/>
        </w:rPr>
        <w:t>第六条：</w:t>
      </w:r>
      <w:r>
        <w:rPr>
          <w:rFonts w:hint="eastAsia"/>
          <w:sz w:val="28"/>
          <w:szCs w:val="28"/>
          <w:lang w:val="en-US" w:eastAsia="zh-CN" w:bidi="en-US"/>
        </w:rPr>
        <w:t>招标</w:t>
      </w:r>
      <w:r>
        <w:rPr>
          <w:sz w:val="28"/>
          <w:szCs w:val="28"/>
          <w:lang w:val="en-US" w:eastAsia="zh-CN" w:bidi="en-US"/>
        </w:rPr>
        <w:t>方责任和权利</w:t>
      </w:r>
      <w:bookmarkEnd w:id="51"/>
      <w:bookmarkEnd w:id="52"/>
      <w:bookmarkEnd w:id="53"/>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6.1对招标方用热范围及产权范围内的设施安全负责；对招标方厂区范围内的用热设施应当及时维护、检修，确保用热设施安全运行，发现计量表故障时及时告知中标方。</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6.2合同期内中标方为招标方唯一供热热源，从中标方具备供热条件之日起，在合同价格合理范围内，未经中标方书面同意，招标方不得自供或用中标方之外的任何第三方供汽（气）热源，非招标方原因导致的除外，若违反本合同约定招标方赔偿中标方由此造成的全部损失。</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6.3如果招标方增加用热负荷，必须提前一个月告知中标方，未经中标方同意不得擅自扩容。</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6.4招标方应保持用热负荷的稳定，并建立用热台账，同中标方建立联动机制，以保证锅炉的稳定、安全、环保、经济运行，招标方设置专门管理人员，管理人员应24小时保持通讯畅通并能取得联系，管理人员应通过相关的专业技术、安全培训。出现负荷波动或安全问题时及时告知中标方。</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6.5招标方同意无偿提供厂内土地1200平方米作为为中标方建设项目用地。</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6.6招、投标文件及本合同约定的招标方的其他责任。</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第七条 违约责任</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（一）中标方的违约责任</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乙方的热力设施正常的检修、抢修时间不应超过48小时，超过48小时应赔偿甲方损失；乙方供热试运行期间给甲方造成的损失，乙方应赔偿甲方因此遭受的损失。</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（二）招标方的违约责任</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1、甲方擅自扩容、改动供热设施或私自出售蒸汽，乙方有权立即停止供热。</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2、甲方须及时结算用热费用，若未在七个工作日内结算，乙方有权立即停止供热，由此造成的损失由甲方自行承担。</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第八条 不可抗力</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（一）下列事件为不可抗力事件：政府行为、战争、动乱、地震、飓风、洪水、冰雹、雪灾、火灾等不能预见、不能避免、不能克服的客观情况。</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（二）由于不可抗力原因，使任何一方不能履行合同义务时，双方不构成本合同项下的违约，并应采取有效措施，尽量避免或减少损失，将因不可抗力造成的损失降低到最低程度。</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（三）因不可抗力致使合同无法按期履行或不能履行所造成的损失由双方各自承担。一方未尽通知义务或未采取措施避免、减少损失的，应就扩大的损失承担相应的赔偿责任。</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四）甲乙双方合同签订后，如招标方发现中标方投标文件虚假或不实，招标方有权要求中标方支付合同总价款的千分之一作为违约金并没收中标方所缴交的履约保证金，同时，中标方应退还招标方已支付的全部费用。</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第九条 争议的解决方式</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本协议履行过程中发生争议时，由双方协商解决；协商不成向合同签订地有管辖权的人民法院诉讼解决。</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第十条 其他</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（一）本协议经甲、乙双方签字盖章后生效。</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（二）本协议未尽事宜由双方协商解决。如需要修改协议条款或者协议未尽事宜，需经双方协商一致，签订补充协定，补充协定与本协议具备同等效力。</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（三）本协议一式肆份，甲方收执贰份、乙方收执贰份，具有同等法律效力。</w:t>
      </w: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320" w:line="240" w:lineRule="auto"/>
        <w:ind w:firstLine="840"/>
      </w:pPr>
    </w:p>
    <w:p>
      <w:pPr>
        <w:pStyle w:val="11"/>
        <w:spacing w:after="0" w:line="540" w:lineRule="exact"/>
        <w:ind w:firstLine="0"/>
        <w:jc w:val="both"/>
        <w:rPr>
          <w:sz w:val="28"/>
          <w:szCs w:val="28"/>
          <w:lang w:val="en-US" w:eastAsia="zh-CN" w:bidi="en-US"/>
        </w:rPr>
      </w:pPr>
      <w:r>
        <w:rPr>
          <w:rFonts w:hint="eastAsia"/>
          <w:sz w:val="28"/>
          <w:szCs w:val="28"/>
          <w:lang w:val="en-US" w:eastAsia="zh-CN" w:bidi="en-US"/>
        </w:rPr>
        <w:t>附件一：招标项目要求</w:t>
      </w:r>
    </w:p>
    <w:p>
      <w:pPr>
        <w:pStyle w:val="11"/>
        <w:spacing w:after="0" w:line="540" w:lineRule="exact"/>
        <w:ind w:firstLine="0"/>
        <w:jc w:val="both"/>
        <w:rPr>
          <w:sz w:val="28"/>
          <w:szCs w:val="28"/>
          <w:lang w:val="en-US" w:eastAsia="zh-CN" w:bidi="en-US"/>
        </w:rPr>
      </w:pPr>
      <w:r>
        <w:rPr>
          <w:rFonts w:hint="eastAsia"/>
          <w:sz w:val="28"/>
          <w:szCs w:val="28"/>
          <w:lang w:val="en-US" w:eastAsia="zh-CN" w:bidi="en-US"/>
        </w:rPr>
        <w:t>一、项目的总体需求</w:t>
      </w:r>
    </w:p>
    <w:p>
      <w:pPr>
        <w:pStyle w:val="11"/>
        <w:spacing w:after="0" w:line="540" w:lineRule="exact"/>
        <w:ind w:firstLine="0"/>
        <w:jc w:val="both"/>
        <w:rPr>
          <w:sz w:val="28"/>
          <w:szCs w:val="28"/>
          <w:lang w:val="en-US" w:eastAsia="zh-CN" w:bidi="en-US"/>
        </w:rPr>
      </w:pPr>
      <w:r>
        <w:rPr>
          <w:rFonts w:hint="eastAsia"/>
          <w:sz w:val="28"/>
          <w:szCs w:val="28"/>
          <w:lang w:val="en-US" w:eastAsia="en-US" w:bidi="en-US"/>
        </w:rPr>
        <w:t>1.1</w:t>
      </w:r>
      <w:r>
        <w:rPr>
          <w:rFonts w:hint="eastAsia"/>
          <w:sz w:val="28"/>
          <w:szCs w:val="28"/>
          <w:lang w:val="en-US" w:eastAsia="zh-CN" w:bidi="en-US"/>
        </w:rPr>
        <w:t>热力供应系统要求</w:t>
      </w:r>
    </w:p>
    <w:tbl>
      <w:tblPr>
        <w:tblStyle w:val="5"/>
        <w:tblW w:w="0" w:type="auto"/>
        <w:jc w:val="center"/>
        <w:tblLayout w:type="fixed"/>
        <w:tblCellMar>
          <w:top w:w="0" w:type="dxa"/>
          <w:left w:w="10" w:type="dxa"/>
          <w:bottom w:w="0" w:type="dxa"/>
          <w:right w:w="10" w:type="dxa"/>
        </w:tblCellMar>
      </w:tblPr>
      <w:tblGrid>
        <w:gridCol w:w="871"/>
        <w:gridCol w:w="7092"/>
        <w:gridCol w:w="1303"/>
        <w:gridCol w:w="972"/>
      </w:tblGrid>
      <w:tr>
        <w:tblPrEx>
          <w:tblCellMar>
            <w:top w:w="0" w:type="dxa"/>
            <w:left w:w="10" w:type="dxa"/>
            <w:bottom w:w="0" w:type="dxa"/>
            <w:right w:w="10" w:type="dxa"/>
          </w:tblCellMar>
        </w:tblPrEx>
        <w:trPr>
          <w:trHeight w:val="950" w:hRule="exact"/>
          <w:jc w:val="center"/>
        </w:trPr>
        <w:tc>
          <w:tcPr>
            <w:tcW w:w="871"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2"/>
                <w:szCs w:val="22"/>
              </w:rPr>
            </w:pPr>
            <w:r>
              <w:rPr>
                <w:sz w:val="22"/>
                <w:szCs w:val="22"/>
              </w:rPr>
              <w:t>序号</w:t>
            </w:r>
          </w:p>
        </w:tc>
        <w:tc>
          <w:tcPr>
            <w:tcW w:w="7092" w:type="dxa"/>
            <w:tcBorders>
              <w:top w:val="single" w:color="auto" w:sz="4" w:space="0"/>
              <w:left w:val="single" w:color="auto" w:sz="4" w:space="0"/>
            </w:tcBorders>
            <w:shd w:val="clear" w:color="auto" w:fill="FFFFFF"/>
            <w:vAlign w:val="center"/>
          </w:tcPr>
          <w:p>
            <w:pPr>
              <w:pStyle w:val="21"/>
              <w:spacing w:after="0" w:line="240" w:lineRule="auto"/>
              <w:ind w:firstLine="0"/>
              <w:jc w:val="center"/>
              <w:rPr>
                <w:sz w:val="22"/>
                <w:szCs w:val="22"/>
              </w:rPr>
            </w:pPr>
            <w:r>
              <w:rPr>
                <w:sz w:val="22"/>
                <w:szCs w:val="22"/>
              </w:rPr>
              <w:t>功能/技术需求</w:t>
            </w:r>
          </w:p>
        </w:tc>
        <w:tc>
          <w:tcPr>
            <w:tcW w:w="1303" w:type="dxa"/>
            <w:tcBorders>
              <w:top w:val="single" w:color="auto" w:sz="4" w:space="0"/>
              <w:left w:val="single" w:color="auto" w:sz="4" w:space="0"/>
            </w:tcBorders>
            <w:shd w:val="clear" w:color="auto" w:fill="FFFFFF"/>
          </w:tcPr>
          <w:p>
            <w:pPr>
              <w:pStyle w:val="21"/>
              <w:spacing w:after="0" w:line="313" w:lineRule="exact"/>
              <w:ind w:firstLine="0"/>
              <w:jc w:val="center"/>
              <w:rPr>
                <w:sz w:val="22"/>
                <w:szCs w:val="22"/>
              </w:rPr>
            </w:pPr>
            <w:r>
              <w:rPr>
                <w:sz w:val="22"/>
                <w:szCs w:val="22"/>
              </w:rPr>
              <w:t>完全符合/部分符合/不符合</w:t>
            </w:r>
          </w:p>
        </w:tc>
        <w:tc>
          <w:tcPr>
            <w:tcW w:w="972"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right="260" w:firstLine="0"/>
              <w:jc w:val="right"/>
              <w:rPr>
                <w:sz w:val="22"/>
                <w:szCs w:val="22"/>
              </w:rPr>
            </w:pPr>
            <w:r>
              <w:rPr>
                <w:sz w:val="22"/>
                <w:szCs w:val="22"/>
              </w:rPr>
              <w:t>备注</w:t>
            </w:r>
          </w:p>
        </w:tc>
      </w:tr>
      <w:tr>
        <w:tblPrEx>
          <w:tblCellMar>
            <w:top w:w="0" w:type="dxa"/>
            <w:left w:w="10" w:type="dxa"/>
            <w:bottom w:w="0" w:type="dxa"/>
            <w:right w:w="10" w:type="dxa"/>
          </w:tblCellMar>
        </w:tblPrEx>
        <w:trPr>
          <w:trHeight w:val="1031" w:hRule="exact"/>
          <w:jc w:val="center"/>
        </w:trPr>
        <w:tc>
          <w:tcPr>
            <w:tcW w:w="871" w:type="dxa"/>
            <w:tcBorders>
              <w:top w:val="single" w:color="auto" w:sz="4" w:space="0"/>
              <w:left w:val="single" w:color="auto" w:sz="4" w:space="0"/>
            </w:tcBorders>
            <w:shd w:val="clear" w:color="auto" w:fill="FFFFFF"/>
            <w:vAlign w:val="center"/>
          </w:tcPr>
          <w:p>
            <w:pPr>
              <w:pStyle w:val="21"/>
              <w:spacing w:after="0" w:line="240" w:lineRule="auto"/>
              <w:ind w:firstLine="360"/>
              <w:rPr>
                <w:sz w:val="22"/>
                <w:szCs w:val="22"/>
              </w:rPr>
            </w:pPr>
            <w:r>
              <w:rPr>
                <w:rFonts w:ascii="Times New Roman" w:hAnsi="Times New Roman" w:eastAsia="Times New Roman" w:cs="Times New Roman"/>
                <w:sz w:val="22"/>
                <w:szCs w:val="22"/>
              </w:rPr>
              <w:t>1</w:t>
            </w:r>
          </w:p>
        </w:tc>
        <w:tc>
          <w:tcPr>
            <w:tcW w:w="7092" w:type="dxa"/>
            <w:tcBorders>
              <w:top w:val="single" w:color="auto" w:sz="4" w:space="0"/>
              <w:left w:val="single" w:color="auto" w:sz="4" w:space="0"/>
            </w:tcBorders>
            <w:shd w:val="clear" w:color="auto" w:fill="FFFFFF"/>
            <w:vAlign w:val="center"/>
          </w:tcPr>
          <w:p>
            <w:pPr>
              <w:pStyle w:val="21"/>
              <w:tabs>
                <w:tab w:val="left" w:pos="353"/>
              </w:tabs>
              <w:spacing w:after="200" w:line="240" w:lineRule="auto"/>
              <w:ind w:firstLine="0"/>
              <w:rPr>
                <w:sz w:val="20"/>
                <w:szCs w:val="20"/>
                <w:lang w:val="en-US" w:eastAsia="zh-CN"/>
              </w:rPr>
            </w:pPr>
            <w:r>
              <w:rPr>
                <w:rFonts w:hint="eastAsia"/>
                <w:sz w:val="20"/>
                <w:szCs w:val="20"/>
                <w:lang w:val="en-US" w:eastAsia="zh-CN"/>
              </w:rPr>
              <w:t>热力供应系统蒸汽品质要求：蒸汽压力具有达到2.0MPA能力，正常运行压力的不低于1.6MPA,温度为饱和蒸汽</w:t>
            </w:r>
          </w:p>
          <w:p>
            <w:pPr>
              <w:pStyle w:val="21"/>
              <w:spacing w:after="0" w:line="310" w:lineRule="exact"/>
              <w:ind w:firstLine="0"/>
              <w:rPr>
                <w:sz w:val="20"/>
                <w:szCs w:val="20"/>
                <w:lang w:val="en-US" w:eastAsia="zh-CN"/>
              </w:rPr>
            </w:pPr>
          </w:p>
        </w:tc>
        <w:tc>
          <w:tcPr>
            <w:tcW w:w="1303" w:type="dxa"/>
            <w:tcBorders>
              <w:top w:val="single" w:color="auto" w:sz="4" w:space="0"/>
              <w:left w:val="single" w:color="auto" w:sz="4" w:space="0"/>
            </w:tcBorders>
            <w:shd w:val="clear" w:color="auto" w:fill="FFFFFF"/>
          </w:tcPr>
          <w:p>
            <w:pPr>
              <w:rPr>
                <w:sz w:val="10"/>
                <w:szCs w:val="10"/>
                <w:lang w:eastAsia="zh-CN"/>
              </w:rPr>
            </w:pPr>
          </w:p>
        </w:tc>
        <w:tc>
          <w:tcPr>
            <w:tcW w:w="972" w:type="dxa"/>
            <w:tcBorders>
              <w:top w:val="single" w:color="auto" w:sz="4" w:space="0"/>
              <w:left w:val="single" w:color="auto" w:sz="4" w:space="0"/>
              <w:right w:val="single" w:color="auto" w:sz="4" w:space="0"/>
            </w:tcBorders>
            <w:shd w:val="clear" w:color="auto" w:fill="FFFFFF"/>
          </w:tcPr>
          <w:p>
            <w:pPr>
              <w:rPr>
                <w:sz w:val="10"/>
                <w:szCs w:val="10"/>
                <w:lang w:eastAsia="zh-CN"/>
              </w:rPr>
            </w:pPr>
          </w:p>
        </w:tc>
      </w:tr>
      <w:tr>
        <w:tblPrEx>
          <w:tblCellMar>
            <w:top w:w="0" w:type="dxa"/>
            <w:left w:w="10" w:type="dxa"/>
            <w:bottom w:w="0" w:type="dxa"/>
            <w:right w:w="10" w:type="dxa"/>
          </w:tblCellMar>
        </w:tblPrEx>
        <w:trPr>
          <w:trHeight w:val="871" w:hRule="exact"/>
          <w:jc w:val="center"/>
        </w:trPr>
        <w:tc>
          <w:tcPr>
            <w:tcW w:w="871" w:type="dxa"/>
            <w:tcBorders>
              <w:top w:val="single" w:color="auto" w:sz="4" w:space="0"/>
              <w:left w:val="single" w:color="auto" w:sz="4" w:space="0"/>
            </w:tcBorders>
            <w:shd w:val="clear" w:color="auto" w:fill="FFFFFF"/>
            <w:vAlign w:val="center"/>
          </w:tcPr>
          <w:p>
            <w:pPr>
              <w:pStyle w:val="21"/>
              <w:spacing w:after="0" w:line="240" w:lineRule="auto"/>
              <w:ind w:firstLine="360"/>
              <w:rPr>
                <w:sz w:val="22"/>
                <w:szCs w:val="22"/>
              </w:rPr>
            </w:pPr>
            <w:r>
              <w:rPr>
                <w:rFonts w:ascii="Times New Roman" w:hAnsi="Times New Roman" w:eastAsia="Times New Roman" w:cs="Times New Roman"/>
                <w:sz w:val="22"/>
                <w:szCs w:val="22"/>
              </w:rPr>
              <w:t>2</w:t>
            </w:r>
          </w:p>
        </w:tc>
        <w:tc>
          <w:tcPr>
            <w:tcW w:w="7092" w:type="dxa"/>
            <w:tcBorders>
              <w:top w:val="single" w:color="auto" w:sz="4" w:space="0"/>
              <w:left w:val="single" w:color="auto" w:sz="4" w:space="0"/>
            </w:tcBorders>
            <w:shd w:val="clear" w:color="auto" w:fill="FFFFFF"/>
            <w:vAlign w:val="center"/>
          </w:tcPr>
          <w:p>
            <w:pPr>
              <w:pStyle w:val="21"/>
              <w:tabs>
                <w:tab w:val="left" w:pos="353"/>
              </w:tabs>
              <w:spacing w:after="200" w:line="240" w:lineRule="auto"/>
              <w:ind w:firstLine="0"/>
              <w:rPr>
                <w:sz w:val="20"/>
                <w:szCs w:val="20"/>
              </w:rPr>
            </w:pPr>
            <w:r>
              <w:rPr>
                <w:rFonts w:hint="eastAsia"/>
                <w:sz w:val="20"/>
                <w:szCs w:val="20"/>
                <w:lang w:val="en-US" w:eastAsia="zh-CN"/>
              </w:rPr>
              <w:t>蒸汽供应能力要求：年供热能力10万吨以上并</w:t>
            </w:r>
            <w:r>
              <w:rPr>
                <w:sz w:val="20"/>
                <w:szCs w:val="20"/>
              </w:rPr>
              <w:t>应具备良好的稳定性、安全性；</w:t>
            </w:r>
            <w:r>
              <w:rPr>
                <w:rFonts w:hint="eastAsia"/>
                <w:sz w:val="20"/>
                <w:szCs w:val="20"/>
              </w:rPr>
              <w:t>生产负荷达到8吨/小时及以上时，甲在约定的供热期限内，年供热累计天数≥330天</w:t>
            </w:r>
          </w:p>
          <w:p>
            <w:pPr>
              <w:pStyle w:val="21"/>
              <w:spacing w:after="0" w:line="310" w:lineRule="exact"/>
              <w:ind w:firstLine="0"/>
              <w:rPr>
                <w:sz w:val="20"/>
                <w:szCs w:val="20"/>
                <w:lang w:val="en-US" w:eastAsia="zh-CN"/>
              </w:rPr>
            </w:pPr>
          </w:p>
        </w:tc>
        <w:tc>
          <w:tcPr>
            <w:tcW w:w="1303" w:type="dxa"/>
            <w:tcBorders>
              <w:top w:val="single" w:color="auto" w:sz="4" w:space="0"/>
              <w:left w:val="single" w:color="auto" w:sz="4" w:space="0"/>
            </w:tcBorders>
            <w:shd w:val="clear" w:color="auto" w:fill="FFFFFF"/>
          </w:tcPr>
          <w:p>
            <w:pPr>
              <w:rPr>
                <w:sz w:val="10"/>
                <w:szCs w:val="10"/>
                <w:lang w:eastAsia="zh-CN"/>
              </w:rPr>
            </w:pPr>
          </w:p>
        </w:tc>
        <w:tc>
          <w:tcPr>
            <w:tcW w:w="972" w:type="dxa"/>
            <w:tcBorders>
              <w:top w:val="single" w:color="auto" w:sz="4" w:space="0"/>
              <w:left w:val="single" w:color="auto" w:sz="4" w:space="0"/>
              <w:right w:val="single" w:color="auto" w:sz="4" w:space="0"/>
            </w:tcBorders>
            <w:shd w:val="clear" w:color="auto" w:fill="FFFFFF"/>
          </w:tcPr>
          <w:p>
            <w:pPr>
              <w:rPr>
                <w:sz w:val="10"/>
                <w:szCs w:val="10"/>
                <w:lang w:eastAsia="zh-CN"/>
              </w:rPr>
            </w:pPr>
          </w:p>
        </w:tc>
      </w:tr>
      <w:tr>
        <w:tblPrEx>
          <w:tblCellMar>
            <w:top w:w="0" w:type="dxa"/>
            <w:left w:w="10" w:type="dxa"/>
            <w:bottom w:w="0" w:type="dxa"/>
            <w:right w:w="10" w:type="dxa"/>
          </w:tblCellMar>
        </w:tblPrEx>
        <w:trPr>
          <w:trHeight w:val="778" w:hRule="exact"/>
          <w:jc w:val="center"/>
        </w:trPr>
        <w:tc>
          <w:tcPr>
            <w:tcW w:w="871" w:type="dxa"/>
            <w:tcBorders>
              <w:top w:val="single" w:color="auto" w:sz="4" w:space="0"/>
              <w:left w:val="single" w:color="auto" w:sz="4" w:space="0"/>
            </w:tcBorders>
            <w:shd w:val="clear" w:color="auto" w:fill="FFFFFF"/>
            <w:vAlign w:val="center"/>
          </w:tcPr>
          <w:p>
            <w:pPr>
              <w:pStyle w:val="21"/>
              <w:spacing w:after="0" w:line="240" w:lineRule="auto"/>
              <w:ind w:firstLine="360"/>
              <w:rPr>
                <w:sz w:val="22"/>
                <w:szCs w:val="22"/>
              </w:rPr>
            </w:pPr>
            <w:r>
              <w:rPr>
                <w:rFonts w:ascii="Times New Roman" w:hAnsi="Times New Roman" w:eastAsia="Times New Roman" w:cs="Times New Roman"/>
                <w:sz w:val="22"/>
                <w:szCs w:val="22"/>
              </w:rPr>
              <w:t>3</w:t>
            </w:r>
          </w:p>
        </w:tc>
        <w:tc>
          <w:tcPr>
            <w:tcW w:w="7092" w:type="dxa"/>
            <w:tcBorders>
              <w:top w:val="single" w:color="auto" w:sz="4" w:space="0"/>
              <w:left w:val="single" w:color="auto" w:sz="4" w:space="0"/>
            </w:tcBorders>
            <w:shd w:val="clear" w:color="auto" w:fill="FFFFFF"/>
          </w:tcPr>
          <w:p>
            <w:pPr>
              <w:pStyle w:val="21"/>
              <w:spacing w:after="0" w:line="331" w:lineRule="exact"/>
              <w:ind w:firstLine="0"/>
              <w:rPr>
                <w:sz w:val="20"/>
                <w:szCs w:val="20"/>
                <w:lang w:val="en-US" w:eastAsia="zh-CN"/>
              </w:rPr>
            </w:pPr>
            <w:r>
              <w:rPr>
                <w:rFonts w:hint="eastAsia"/>
                <w:sz w:val="20"/>
                <w:szCs w:val="20"/>
                <w:lang w:val="en-US" w:eastAsia="zh-CN"/>
              </w:rPr>
              <w:t>热力系统安全可靠性要求：</w:t>
            </w:r>
            <w:r>
              <w:rPr>
                <w:rFonts w:hint="eastAsia"/>
                <w:sz w:val="20"/>
                <w:szCs w:val="20"/>
              </w:rPr>
              <w:t>热力供应的生产系统</w:t>
            </w:r>
            <w:r>
              <w:rPr>
                <w:rFonts w:hint="eastAsia"/>
                <w:sz w:val="20"/>
                <w:szCs w:val="20"/>
                <w:lang w:val="en-US" w:eastAsia="zh-CN"/>
              </w:rPr>
              <w:t>采用双套单元系统，互为备用</w:t>
            </w:r>
          </w:p>
        </w:tc>
        <w:tc>
          <w:tcPr>
            <w:tcW w:w="1303" w:type="dxa"/>
            <w:tcBorders>
              <w:top w:val="single" w:color="auto" w:sz="4" w:space="0"/>
              <w:left w:val="single" w:color="auto" w:sz="4" w:space="0"/>
            </w:tcBorders>
            <w:shd w:val="clear" w:color="auto" w:fill="FFFFFF"/>
          </w:tcPr>
          <w:p>
            <w:pPr>
              <w:rPr>
                <w:sz w:val="10"/>
                <w:szCs w:val="10"/>
                <w:lang w:eastAsia="zh-CN"/>
              </w:rPr>
            </w:pPr>
          </w:p>
        </w:tc>
        <w:tc>
          <w:tcPr>
            <w:tcW w:w="972" w:type="dxa"/>
            <w:tcBorders>
              <w:top w:val="single" w:color="auto" w:sz="4" w:space="0"/>
              <w:left w:val="single" w:color="auto" w:sz="4" w:space="0"/>
              <w:right w:val="single" w:color="auto" w:sz="4" w:space="0"/>
            </w:tcBorders>
            <w:shd w:val="clear" w:color="auto" w:fill="FFFFFF"/>
          </w:tcPr>
          <w:p>
            <w:pPr>
              <w:rPr>
                <w:sz w:val="10"/>
                <w:szCs w:val="10"/>
                <w:lang w:eastAsia="zh-CN"/>
              </w:rPr>
            </w:pPr>
          </w:p>
        </w:tc>
      </w:tr>
      <w:tr>
        <w:tblPrEx>
          <w:tblCellMar>
            <w:top w:w="0" w:type="dxa"/>
            <w:left w:w="10" w:type="dxa"/>
            <w:bottom w:w="0" w:type="dxa"/>
            <w:right w:w="10" w:type="dxa"/>
          </w:tblCellMar>
        </w:tblPrEx>
        <w:trPr>
          <w:trHeight w:val="793" w:hRule="exact"/>
          <w:jc w:val="center"/>
        </w:trPr>
        <w:tc>
          <w:tcPr>
            <w:tcW w:w="871" w:type="dxa"/>
            <w:tcBorders>
              <w:top w:val="single" w:color="auto" w:sz="4" w:space="0"/>
              <w:left w:val="single" w:color="auto" w:sz="4" w:space="0"/>
            </w:tcBorders>
            <w:shd w:val="clear" w:color="auto" w:fill="FFFFFF"/>
            <w:vAlign w:val="center"/>
          </w:tcPr>
          <w:p>
            <w:pPr>
              <w:pStyle w:val="21"/>
              <w:spacing w:after="0" w:line="240" w:lineRule="auto"/>
              <w:ind w:firstLine="360"/>
              <w:rPr>
                <w:sz w:val="22"/>
                <w:szCs w:val="22"/>
              </w:rPr>
            </w:pPr>
            <w:r>
              <w:rPr>
                <w:rFonts w:ascii="Times New Roman" w:hAnsi="Times New Roman" w:eastAsia="Times New Roman" w:cs="Times New Roman"/>
                <w:sz w:val="22"/>
                <w:szCs w:val="22"/>
              </w:rPr>
              <w:t>4</w:t>
            </w:r>
          </w:p>
        </w:tc>
        <w:tc>
          <w:tcPr>
            <w:tcW w:w="7092" w:type="dxa"/>
            <w:tcBorders>
              <w:top w:val="single" w:color="auto" w:sz="4" w:space="0"/>
              <w:left w:val="single" w:color="auto" w:sz="4" w:space="0"/>
            </w:tcBorders>
            <w:shd w:val="clear" w:color="auto" w:fill="FFFFFF"/>
          </w:tcPr>
          <w:p>
            <w:pPr>
              <w:pStyle w:val="21"/>
              <w:spacing w:after="0" w:line="317" w:lineRule="exact"/>
              <w:ind w:firstLine="0"/>
              <w:jc w:val="both"/>
              <w:rPr>
                <w:sz w:val="20"/>
                <w:szCs w:val="20"/>
                <w:lang w:val="en-US" w:eastAsia="zh-CN"/>
              </w:rPr>
            </w:pPr>
            <w:r>
              <w:rPr>
                <w:rFonts w:hint="eastAsia"/>
                <w:sz w:val="20"/>
                <w:szCs w:val="20"/>
                <w:lang w:val="en-US" w:eastAsia="zh-CN"/>
              </w:rPr>
              <w:t>热力系统占地面积要求：系统占地面积不超过12</w:t>
            </w:r>
            <w:bookmarkStart w:id="82" w:name="_GoBack"/>
            <w:bookmarkEnd w:id="82"/>
            <w:r>
              <w:rPr>
                <w:rFonts w:hint="eastAsia"/>
                <w:sz w:val="20"/>
                <w:szCs w:val="20"/>
                <w:lang w:val="en-US" w:eastAsia="zh-CN"/>
              </w:rPr>
              <w:t>00㎡</w:t>
            </w:r>
          </w:p>
        </w:tc>
        <w:tc>
          <w:tcPr>
            <w:tcW w:w="1303" w:type="dxa"/>
            <w:tcBorders>
              <w:top w:val="single" w:color="auto" w:sz="4" w:space="0"/>
              <w:left w:val="single" w:color="auto" w:sz="4" w:space="0"/>
            </w:tcBorders>
            <w:shd w:val="clear" w:color="auto" w:fill="FFFFFF"/>
          </w:tcPr>
          <w:p>
            <w:pPr>
              <w:rPr>
                <w:sz w:val="10"/>
                <w:szCs w:val="10"/>
                <w:lang w:eastAsia="zh-CN"/>
              </w:rPr>
            </w:pPr>
          </w:p>
        </w:tc>
        <w:tc>
          <w:tcPr>
            <w:tcW w:w="972" w:type="dxa"/>
            <w:tcBorders>
              <w:top w:val="single" w:color="auto" w:sz="4" w:space="0"/>
              <w:left w:val="single" w:color="auto" w:sz="4" w:space="0"/>
              <w:right w:val="single" w:color="auto" w:sz="4" w:space="0"/>
            </w:tcBorders>
            <w:shd w:val="clear" w:color="auto" w:fill="FFFFFF"/>
          </w:tcPr>
          <w:p>
            <w:pPr>
              <w:rPr>
                <w:sz w:val="10"/>
                <w:szCs w:val="10"/>
                <w:lang w:eastAsia="zh-CN"/>
              </w:rPr>
            </w:pPr>
          </w:p>
        </w:tc>
      </w:tr>
      <w:tr>
        <w:tblPrEx>
          <w:tblCellMar>
            <w:top w:w="0" w:type="dxa"/>
            <w:left w:w="10" w:type="dxa"/>
            <w:bottom w:w="0" w:type="dxa"/>
            <w:right w:w="10" w:type="dxa"/>
          </w:tblCellMar>
        </w:tblPrEx>
        <w:trPr>
          <w:trHeight w:val="660" w:hRule="exact"/>
          <w:jc w:val="center"/>
        </w:trPr>
        <w:tc>
          <w:tcPr>
            <w:tcW w:w="871" w:type="dxa"/>
            <w:tcBorders>
              <w:top w:val="single" w:color="auto" w:sz="4" w:space="0"/>
              <w:left w:val="single" w:color="auto" w:sz="4" w:space="0"/>
              <w:bottom w:val="single" w:color="auto" w:sz="4" w:space="0"/>
            </w:tcBorders>
            <w:shd w:val="clear" w:color="auto" w:fill="FFFFFF"/>
            <w:vAlign w:val="center"/>
          </w:tcPr>
          <w:p>
            <w:pPr>
              <w:pStyle w:val="21"/>
              <w:spacing w:after="0" w:line="240" w:lineRule="auto"/>
              <w:ind w:firstLine="360"/>
              <w:rPr>
                <w:sz w:val="22"/>
                <w:szCs w:val="22"/>
              </w:rPr>
            </w:pPr>
            <w:r>
              <w:rPr>
                <w:rFonts w:ascii="Times New Roman" w:hAnsi="Times New Roman" w:eastAsia="Times New Roman" w:cs="Times New Roman"/>
                <w:sz w:val="22"/>
                <w:szCs w:val="22"/>
              </w:rPr>
              <w:t>5</w:t>
            </w:r>
          </w:p>
        </w:tc>
        <w:tc>
          <w:tcPr>
            <w:tcW w:w="7092" w:type="dxa"/>
            <w:tcBorders>
              <w:top w:val="single" w:color="auto" w:sz="4" w:space="0"/>
              <w:left w:val="single" w:color="auto" w:sz="4" w:space="0"/>
              <w:bottom w:val="single" w:color="auto" w:sz="4" w:space="0"/>
            </w:tcBorders>
            <w:shd w:val="clear" w:color="auto" w:fill="FFFFFF"/>
          </w:tcPr>
          <w:p>
            <w:pPr>
              <w:pStyle w:val="21"/>
              <w:spacing w:after="0" w:line="313" w:lineRule="exact"/>
              <w:ind w:left="200" w:hanging="200" w:hangingChars="100"/>
              <w:jc w:val="both"/>
              <w:rPr>
                <w:sz w:val="20"/>
                <w:szCs w:val="20"/>
                <w:lang w:val="en-US" w:eastAsia="zh-CN"/>
              </w:rPr>
            </w:pPr>
            <w:r>
              <w:rPr>
                <w:rFonts w:hint="eastAsia"/>
                <w:sz w:val="20"/>
                <w:szCs w:val="20"/>
                <w:lang w:val="en-US" w:eastAsia="zh-CN"/>
              </w:rPr>
              <w:t>热力生产系统环评报告编制及环保排放要求：投标方负责办理环评报告编制工作，生产系统排放</w:t>
            </w:r>
            <w:r>
              <w:rPr>
                <w:rFonts w:hint="eastAsia"/>
                <w:sz w:val="20"/>
                <w:szCs w:val="20"/>
                <w:lang w:eastAsia="zh-CN"/>
              </w:rPr>
              <w:t>颗粒物</w:t>
            </w:r>
            <w:r>
              <w:rPr>
                <w:rFonts w:hint="eastAsia"/>
                <w:sz w:val="20"/>
                <w:szCs w:val="20"/>
                <w:lang w:val="en-US" w:eastAsia="zh-CN"/>
              </w:rPr>
              <w:t>不高于</w:t>
            </w:r>
            <w:r>
              <w:rPr>
                <w:rFonts w:hint="eastAsia"/>
                <w:sz w:val="20"/>
                <w:szCs w:val="20"/>
                <w:lang w:eastAsia="zh-CN"/>
              </w:rPr>
              <w:t>10㎎/m3、二氧化硫</w:t>
            </w:r>
            <w:r>
              <w:rPr>
                <w:rFonts w:hint="eastAsia"/>
                <w:sz w:val="20"/>
                <w:szCs w:val="20"/>
                <w:lang w:val="en-US" w:eastAsia="zh-CN"/>
              </w:rPr>
              <w:t>不高于</w:t>
            </w:r>
            <w:r>
              <w:rPr>
                <w:rFonts w:hint="eastAsia"/>
                <w:sz w:val="20"/>
                <w:szCs w:val="20"/>
                <w:lang w:eastAsia="zh-CN"/>
              </w:rPr>
              <w:t>50㎎/m3、氮氧化物</w:t>
            </w:r>
            <w:r>
              <w:rPr>
                <w:rFonts w:hint="eastAsia"/>
                <w:sz w:val="20"/>
                <w:szCs w:val="20"/>
                <w:lang w:val="en-US" w:eastAsia="zh-CN"/>
              </w:rPr>
              <w:t>不高于</w:t>
            </w:r>
            <w:r>
              <w:rPr>
                <w:rFonts w:hint="eastAsia"/>
                <w:sz w:val="20"/>
                <w:szCs w:val="20"/>
                <w:lang w:eastAsia="zh-CN"/>
              </w:rPr>
              <w:t>100㎎/m3；</w:t>
            </w:r>
          </w:p>
        </w:tc>
        <w:tc>
          <w:tcPr>
            <w:tcW w:w="1303" w:type="dxa"/>
            <w:tcBorders>
              <w:top w:val="single" w:color="auto" w:sz="4" w:space="0"/>
              <w:left w:val="single" w:color="auto" w:sz="4" w:space="0"/>
              <w:bottom w:val="single" w:color="auto" w:sz="4" w:space="0"/>
            </w:tcBorders>
            <w:shd w:val="clear" w:color="auto" w:fill="FFFFFF"/>
          </w:tcPr>
          <w:p>
            <w:pPr>
              <w:rPr>
                <w:sz w:val="10"/>
                <w:szCs w:val="10"/>
                <w:lang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lang w:eastAsia="zh-CN"/>
              </w:rPr>
            </w:pPr>
          </w:p>
        </w:tc>
      </w:tr>
      <w:tr>
        <w:tblPrEx>
          <w:tblCellMar>
            <w:top w:w="0" w:type="dxa"/>
            <w:left w:w="10" w:type="dxa"/>
            <w:bottom w:w="0" w:type="dxa"/>
            <w:right w:w="10" w:type="dxa"/>
          </w:tblCellMar>
        </w:tblPrEx>
        <w:trPr>
          <w:trHeight w:val="660" w:hRule="exact"/>
          <w:jc w:val="center"/>
        </w:trPr>
        <w:tc>
          <w:tcPr>
            <w:tcW w:w="871" w:type="dxa"/>
            <w:tcBorders>
              <w:top w:val="single" w:color="auto" w:sz="4" w:space="0"/>
              <w:left w:val="single" w:color="auto" w:sz="4" w:space="0"/>
              <w:bottom w:val="single" w:color="auto" w:sz="4" w:space="0"/>
            </w:tcBorders>
            <w:shd w:val="clear" w:color="auto" w:fill="FFFFFF"/>
            <w:vAlign w:val="center"/>
          </w:tcPr>
          <w:p>
            <w:pPr>
              <w:pStyle w:val="21"/>
              <w:spacing w:after="0" w:line="240" w:lineRule="auto"/>
              <w:ind w:firstLine="360"/>
              <w:rPr>
                <w:rFonts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w:t>
            </w:r>
          </w:p>
        </w:tc>
        <w:tc>
          <w:tcPr>
            <w:tcW w:w="7092" w:type="dxa"/>
            <w:tcBorders>
              <w:top w:val="single" w:color="auto" w:sz="4" w:space="0"/>
              <w:left w:val="single" w:color="auto" w:sz="4" w:space="0"/>
              <w:bottom w:val="single" w:color="auto" w:sz="4" w:space="0"/>
            </w:tcBorders>
            <w:shd w:val="clear" w:color="auto" w:fill="FFFFFF"/>
          </w:tcPr>
          <w:p>
            <w:pPr>
              <w:pStyle w:val="21"/>
              <w:spacing w:after="0" w:line="313" w:lineRule="exact"/>
              <w:ind w:firstLine="0"/>
              <w:jc w:val="both"/>
              <w:rPr>
                <w:sz w:val="20"/>
                <w:szCs w:val="20"/>
                <w:lang w:val="en-US" w:eastAsia="zh-CN"/>
              </w:rPr>
            </w:pPr>
            <w:r>
              <w:rPr>
                <w:rFonts w:hint="eastAsia"/>
                <w:sz w:val="20"/>
                <w:szCs w:val="20"/>
                <w:lang w:val="en-US" w:eastAsia="zh-CN"/>
              </w:rPr>
              <w:t>热力系统原料及保障要求：热力供应系统方案使用非化石能源；原料储存不低于15天连续生产负荷要求</w:t>
            </w:r>
          </w:p>
        </w:tc>
        <w:tc>
          <w:tcPr>
            <w:tcW w:w="1303" w:type="dxa"/>
            <w:tcBorders>
              <w:top w:val="single" w:color="auto" w:sz="4" w:space="0"/>
              <w:left w:val="single" w:color="auto" w:sz="4" w:space="0"/>
              <w:bottom w:val="single" w:color="auto" w:sz="4" w:space="0"/>
            </w:tcBorders>
            <w:shd w:val="clear" w:color="auto" w:fill="FFFFFF"/>
          </w:tcPr>
          <w:p>
            <w:pPr>
              <w:rPr>
                <w:sz w:val="10"/>
                <w:szCs w:val="10"/>
                <w:lang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lang w:eastAsia="zh-CN"/>
              </w:rPr>
            </w:pPr>
          </w:p>
        </w:tc>
      </w:tr>
      <w:tr>
        <w:tblPrEx>
          <w:tblCellMar>
            <w:top w:w="0" w:type="dxa"/>
            <w:left w:w="10" w:type="dxa"/>
            <w:bottom w:w="0" w:type="dxa"/>
            <w:right w:w="10" w:type="dxa"/>
          </w:tblCellMar>
        </w:tblPrEx>
        <w:trPr>
          <w:trHeight w:val="660" w:hRule="exact"/>
          <w:jc w:val="center"/>
        </w:trPr>
        <w:tc>
          <w:tcPr>
            <w:tcW w:w="871" w:type="dxa"/>
            <w:tcBorders>
              <w:top w:val="single" w:color="auto" w:sz="4" w:space="0"/>
              <w:left w:val="single" w:color="auto" w:sz="4" w:space="0"/>
              <w:bottom w:val="single" w:color="auto" w:sz="4" w:space="0"/>
            </w:tcBorders>
            <w:shd w:val="clear" w:color="auto" w:fill="FFFFFF"/>
            <w:vAlign w:val="center"/>
          </w:tcPr>
          <w:p>
            <w:pPr>
              <w:pStyle w:val="21"/>
              <w:spacing w:after="0" w:line="240" w:lineRule="auto"/>
              <w:ind w:firstLine="360"/>
              <w:rPr>
                <w:rFonts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7</w:t>
            </w:r>
          </w:p>
        </w:tc>
        <w:tc>
          <w:tcPr>
            <w:tcW w:w="7092" w:type="dxa"/>
            <w:tcBorders>
              <w:top w:val="single" w:color="auto" w:sz="4" w:space="0"/>
              <w:left w:val="single" w:color="auto" w:sz="4" w:space="0"/>
              <w:bottom w:val="single" w:color="auto" w:sz="4" w:space="0"/>
            </w:tcBorders>
            <w:shd w:val="clear" w:color="auto" w:fill="FFFFFF"/>
          </w:tcPr>
          <w:p>
            <w:pPr>
              <w:pStyle w:val="21"/>
              <w:spacing w:after="0" w:line="313" w:lineRule="exact"/>
              <w:ind w:firstLine="0"/>
              <w:jc w:val="both"/>
              <w:rPr>
                <w:sz w:val="20"/>
                <w:szCs w:val="20"/>
                <w:lang w:val="en-US" w:eastAsia="zh-CN"/>
              </w:rPr>
            </w:pPr>
            <w:r>
              <w:rPr>
                <w:rFonts w:hint="eastAsia"/>
                <w:sz w:val="20"/>
                <w:szCs w:val="20"/>
                <w:lang w:val="en-US" w:eastAsia="zh-CN"/>
              </w:rPr>
              <w:t>热力系统建设周期要求：合同签订后60天内</w:t>
            </w:r>
          </w:p>
        </w:tc>
        <w:tc>
          <w:tcPr>
            <w:tcW w:w="1303" w:type="dxa"/>
            <w:tcBorders>
              <w:top w:val="single" w:color="auto" w:sz="4" w:space="0"/>
              <w:left w:val="single" w:color="auto" w:sz="4" w:space="0"/>
              <w:bottom w:val="single" w:color="auto" w:sz="4" w:space="0"/>
            </w:tcBorders>
            <w:shd w:val="clear" w:color="auto" w:fill="FFFFFF"/>
          </w:tcPr>
          <w:p>
            <w:pPr>
              <w:rPr>
                <w:sz w:val="10"/>
                <w:szCs w:val="10"/>
                <w:lang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lang w:eastAsia="zh-CN"/>
              </w:rPr>
            </w:pPr>
          </w:p>
        </w:tc>
      </w:tr>
    </w:tbl>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1.2智慧能源服务平台需求</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投标人充分考虑与推荐产品相配合、高效、稳定、安全的软硬件产品，其中软件系统要求支持私有化部署模式，并支持集群分布式部署，在不修改代码的情况下可以快速扩容系统规模，实现高并发的业务场景支持能力。</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1.2.1系统安全管理要求</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系统用户实行集中统一管理，具备相应安全机制确保信息不会被第三方窃取，认证模块或系统须能支持多种认证方式（如：Windows AD认证），或者支持外部认证等。认证系统应能支持LDAP认证协议。具备安全审计和日志记录功能，能够按用户方式查询对系统的访问情况，包括用户名、登录时间、执行的操作及相关数据等，日志文件可自动保存。</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服务器安全：DMZ安全隔离；终端请求不连接DB及存储；访问合法性校验；单点登录SSO；访问频次控制；防密码重试。</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1.2.2系统平台要求</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操作系统：WINDOWS OS或Linux</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数据库：MS-SQL或My-SQL</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1.2.3技术支持服务</w:t>
      </w:r>
    </w:p>
    <w:p>
      <w:pPr>
        <w:pStyle w:val="11"/>
        <w:spacing w:after="0" w:line="540" w:lineRule="exact"/>
        <w:ind w:firstLine="560" w:firstLineChars="200"/>
        <w:jc w:val="both"/>
        <w:rPr>
          <w:sz w:val="28"/>
          <w:szCs w:val="28"/>
          <w:lang w:val="en-US" w:eastAsia="zh-CN" w:bidi="en-US"/>
        </w:rPr>
      </w:pPr>
      <w:r>
        <w:rPr>
          <w:rFonts w:hint="eastAsia"/>
          <w:sz w:val="28"/>
          <w:szCs w:val="28"/>
          <w:lang w:val="en-US" w:eastAsia="zh-CN" w:bidi="en-US"/>
        </w:rPr>
        <w:t>为使系统建设正常进行，保证系统正常运行，及时解决用户遇到的实际问题，投标方必须提供技术支持服务承诺：</w:t>
      </w:r>
    </w:p>
    <w:p>
      <w:pPr>
        <w:pStyle w:val="11"/>
        <w:spacing w:after="0" w:line="540" w:lineRule="exact"/>
        <w:ind w:firstLine="560" w:firstLineChars="200"/>
        <w:jc w:val="both"/>
        <w:rPr>
          <w:sz w:val="28"/>
          <w:szCs w:val="28"/>
          <w:lang w:val="en-US" w:eastAsia="zh-CN" w:bidi="en-US"/>
        </w:rPr>
      </w:pPr>
      <w:bookmarkStart w:id="54" w:name="bookmark74"/>
      <w:bookmarkEnd w:id="54"/>
      <w:r>
        <w:rPr>
          <w:rFonts w:hint="eastAsia"/>
          <w:sz w:val="28"/>
          <w:szCs w:val="28"/>
          <w:lang w:val="en-US" w:eastAsia="zh-CN" w:bidi="en-US"/>
        </w:rPr>
        <w:t>验收合格后提供1年的免费维护，包括软件的完善、升级、功能的扩充，项目范围内的模块的修改、优化等；</w:t>
      </w:r>
    </w:p>
    <w:p>
      <w:pPr>
        <w:pStyle w:val="11"/>
        <w:spacing w:after="0" w:line="540" w:lineRule="exact"/>
        <w:ind w:firstLine="560" w:firstLineChars="200"/>
        <w:jc w:val="both"/>
        <w:rPr>
          <w:sz w:val="28"/>
          <w:szCs w:val="28"/>
          <w:lang w:val="en-US" w:eastAsia="zh-CN" w:bidi="en-US"/>
        </w:rPr>
      </w:pPr>
      <w:bookmarkStart w:id="55" w:name="bookmark75"/>
      <w:bookmarkEnd w:id="55"/>
      <w:r>
        <w:rPr>
          <w:rFonts w:hint="eastAsia"/>
          <w:sz w:val="28"/>
          <w:szCs w:val="28"/>
          <w:lang w:val="en-US" w:eastAsia="zh-CN" w:bidi="en-US"/>
        </w:rPr>
        <w:t>在1年免费维护期中，要求中标方根据招标方需求，提供包括开发人员的驻地技术支持、软件的操作培训等服务；</w:t>
      </w:r>
    </w:p>
    <w:p>
      <w:pPr>
        <w:pStyle w:val="11"/>
        <w:spacing w:after="0" w:line="540" w:lineRule="exact"/>
        <w:ind w:firstLine="560" w:firstLineChars="200"/>
        <w:jc w:val="both"/>
        <w:rPr>
          <w:sz w:val="28"/>
          <w:szCs w:val="28"/>
          <w:lang w:val="en-US" w:eastAsia="zh-CN" w:bidi="en-US"/>
        </w:rPr>
        <w:sectPr>
          <w:headerReference r:id="rId11" w:type="default"/>
          <w:footerReference r:id="rId13" w:type="default"/>
          <w:headerReference r:id="rId12" w:type="even"/>
          <w:footerReference r:id="rId14" w:type="even"/>
          <w:pgSz w:w="11900" w:h="16840"/>
          <w:pgMar w:top="1332" w:right="1491" w:bottom="1508" w:left="1485" w:header="0" w:footer="6" w:gutter="0"/>
          <w:cols w:space="0" w:num="1"/>
          <w:docGrid w:linePitch="360" w:charSpace="0"/>
        </w:sectPr>
      </w:pPr>
      <w:bookmarkStart w:id="56" w:name="bookmark76"/>
      <w:bookmarkEnd w:id="56"/>
      <w:r>
        <w:rPr>
          <w:rFonts w:hint="eastAsia"/>
          <w:sz w:val="28"/>
          <w:szCs w:val="28"/>
          <w:lang w:val="en-US" w:eastAsia="zh-CN" w:bidi="en-US"/>
        </w:rPr>
        <w:t>中标方应对中标产品提供免费7X24小时电话技术支持，故障发生2小时内响应并提岀应急处置方案，8小时内排除故障。</w:t>
      </w:r>
    </w:p>
    <w:p>
      <w:pPr>
        <w:pStyle w:val="11"/>
        <w:spacing w:after="200" w:line="240" w:lineRule="auto"/>
        <w:ind w:firstLine="0"/>
      </w:pPr>
      <w:r>
        <w:t>附件二</w:t>
      </w:r>
    </w:p>
    <w:p>
      <w:pPr>
        <w:pStyle w:val="13"/>
        <w:keepNext/>
        <w:keepLines/>
        <w:spacing w:after="160" w:line="240" w:lineRule="auto"/>
        <w:rPr>
          <w:sz w:val="44"/>
          <w:szCs w:val="44"/>
        </w:rPr>
      </w:pPr>
      <w:bookmarkStart w:id="57" w:name="bookmark77"/>
      <w:bookmarkStart w:id="58" w:name="bookmark79"/>
      <w:bookmarkStart w:id="59" w:name="bookmark78"/>
      <w:r>
        <w:rPr>
          <w:sz w:val="44"/>
          <w:szCs w:val="44"/>
        </w:rPr>
        <w:t>承诺书</w:t>
      </w:r>
      <w:bookmarkEnd w:id="57"/>
      <w:bookmarkEnd w:id="58"/>
      <w:bookmarkEnd w:id="59"/>
    </w:p>
    <w:p>
      <w:pPr>
        <w:pStyle w:val="11"/>
        <w:spacing w:after="280" w:line="634" w:lineRule="exact"/>
        <w:ind w:firstLine="0"/>
        <w:jc w:val="both"/>
      </w:pPr>
      <w:r>
        <w:rPr>
          <w:rFonts w:hint="eastAsia"/>
          <w:lang w:val="en-US" w:eastAsia="zh-CN"/>
        </w:rPr>
        <w:t>启润轮胎（日照）</w:t>
      </w:r>
      <w:r>
        <w:t>有限公司：</w:t>
      </w:r>
    </w:p>
    <w:p>
      <w:pPr>
        <w:pStyle w:val="11"/>
        <w:spacing w:after="0" w:line="630" w:lineRule="exact"/>
        <w:ind w:firstLine="520" w:firstLineChars="200"/>
        <w:jc w:val="both"/>
      </w:pPr>
      <w:r>
        <w:t>我司就编号为</w:t>
      </w:r>
      <w:r>
        <w:rPr>
          <w:b/>
          <w:bCs/>
          <w:lang w:val="en-US" w:eastAsia="zh-CN" w:bidi="en-US"/>
        </w:rPr>
        <w:t>GMGYL-202</w:t>
      </w:r>
      <w:r>
        <w:rPr>
          <w:rFonts w:hint="eastAsia"/>
          <w:b/>
          <w:bCs/>
          <w:lang w:val="en-US" w:eastAsia="zh-CN" w:bidi="en-US"/>
        </w:rPr>
        <w:t>2</w:t>
      </w:r>
      <w:r>
        <w:rPr>
          <w:b/>
          <w:bCs/>
          <w:lang w:val="en-US" w:eastAsia="zh-CN" w:bidi="en-US"/>
        </w:rPr>
        <w:t>0</w:t>
      </w:r>
      <w:r>
        <w:rPr>
          <w:rFonts w:hint="eastAsia"/>
          <w:b/>
          <w:bCs/>
          <w:lang w:val="en-US" w:eastAsia="zh-CN" w:bidi="en-US"/>
        </w:rPr>
        <w:t>5</w:t>
      </w:r>
      <w:r>
        <w:t>的招标项目提交的《</w:t>
      </w:r>
      <w:r>
        <w:rPr>
          <w:rFonts w:hint="eastAsia"/>
        </w:rPr>
        <w:t>启润轮胎（日照）清洁热力供应及智慧能源服务</w:t>
      </w:r>
      <w:r>
        <w:t>》项目投标向贵司承诺如下：</w:t>
      </w:r>
    </w:p>
    <w:p>
      <w:pPr>
        <w:pStyle w:val="11"/>
        <w:tabs>
          <w:tab w:val="left" w:pos="1787"/>
        </w:tabs>
        <w:spacing w:after="0" w:line="630" w:lineRule="exact"/>
        <w:ind w:firstLine="520" w:firstLineChars="200"/>
        <w:jc w:val="both"/>
      </w:pPr>
      <w:bookmarkStart w:id="60" w:name="bookmark80"/>
      <w:bookmarkEnd w:id="60"/>
      <w:r>
        <w:rPr>
          <w:rFonts w:hint="eastAsia"/>
          <w:lang w:val="en-US" w:eastAsia="zh-CN"/>
        </w:rPr>
        <w:t>1.</w:t>
      </w:r>
      <w:r>
        <w:t>我司所使用的技术及产品知识产权完整清晰，己按照法律取得必要的许可使用授权（若有），不存在纠纷，不影响贵司使用。</w:t>
      </w:r>
    </w:p>
    <w:p>
      <w:pPr>
        <w:pStyle w:val="11"/>
        <w:tabs>
          <w:tab w:val="left" w:pos="1787"/>
        </w:tabs>
        <w:spacing w:after="0" w:line="634" w:lineRule="exact"/>
        <w:ind w:firstLine="520" w:firstLineChars="200"/>
        <w:jc w:val="both"/>
      </w:pPr>
      <w:bookmarkStart w:id="61" w:name="bookmark81"/>
      <w:bookmarkEnd w:id="61"/>
      <w:r>
        <w:rPr>
          <w:rFonts w:hint="eastAsia"/>
          <w:lang w:val="en-US" w:eastAsia="zh-CN"/>
        </w:rPr>
        <w:t>2.</w:t>
      </w:r>
      <w:r>
        <w:t>我司所提交的《</w:t>
      </w:r>
      <w:r>
        <w:rPr>
          <w:rFonts w:hint="eastAsia"/>
          <w:lang w:val="en-US" w:eastAsia="zh-CN"/>
        </w:rPr>
        <w:t>启润轮胎（日照）清洁热力供应及智慧能源服务</w:t>
      </w:r>
      <w:r>
        <w:t>》相关</w:t>
      </w:r>
      <w:r>
        <w:rPr>
          <w:rFonts w:hint="eastAsia"/>
          <w:lang w:val="en-US" w:eastAsia="zh-CN"/>
        </w:rPr>
        <w:t>设备系统全部符合国家相关安全质量标准，若采用不合格产品导致的后果由我司承担</w:t>
      </w:r>
      <w:r>
        <w:rPr>
          <w:rFonts w:hint="eastAsia"/>
          <w:lang w:eastAsia="zh-CN"/>
        </w:rPr>
        <w:t>。</w:t>
      </w:r>
    </w:p>
    <w:p>
      <w:pPr>
        <w:pStyle w:val="11"/>
        <w:tabs>
          <w:tab w:val="left" w:pos="1793"/>
        </w:tabs>
        <w:spacing w:after="620" w:line="634" w:lineRule="exact"/>
        <w:ind w:firstLine="520" w:firstLineChars="200"/>
        <w:jc w:val="both"/>
      </w:pPr>
      <w:bookmarkStart w:id="62" w:name="bookmark82"/>
      <w:bookmarkEnd w:id="62"/>
      <w:r>
        <w:rPr>
          <w:rFonts w:hint="eastAsia"/>
          <w:lang w:val="en-US" w:eastAsia="zh-CN"/>
        </w:rPr>
        <w:t>3.</w:t>
      </w:r>
      <w:r>
        <w:t>我司项目团队完全遵守贵司各项规章制度。</w:t>
      </w:r>
    </w:p>
    <w:p>
      <w:pPr>
        <w:pStyle w:val="11"/>
        <w:spacing w:after="0" w:line="634" w:lineRule="exact"/>
        <w:ind w:left="1420" w:firstLine="0"/>
        <w:jc w:val="both"/>
      </w:pPr>
      <w:r>
        <w:t>特此声明</w:t>
      </w:r>
    </w:p>
    <w:p>
      <w:pPr>
        <w:pStyle w:val="11"/>
        <w:spacing w:after="0" w:line="634" w:lineRule="exact"/>
        <w:ind w:left="6060" w:firstLine="0"/>
      </w:pPr>
      <w:r>
        <w:t>投标人：</w:t>
      </w:r>
    </w:p>
    <w:p>
      <w:pPr>
        <w:pStyle w:val="11"/>
        <w:spacing w:after="0" w:line="634" w:lineRule="exact"/>
        <w:ind w:left="6200" w:firstLine="0"/>
      </w:pPr>
      <w:r>
        <w:t>（公章）</w:t>
      </w:r>
    </w:p>
    <w:p>
      <w:pPr>
        <w:pStyle w:val="11"/>
        <w:spacing w:after="240" w:line="634" w:lineRule="exact"/>
        <w:ind w:left="6060" w:firstLine="0"/>
      </w:pPr>
      <w:r>
        <w:t>日期：</w:t>
      </w: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800"/>
        <w:jc w:val="both"/>
      </w:pPr>
    </w:p>
    <w:p>
      <w:pPr>
        <w:pStyle w:val="11"/>
        <w:spacing w:after="0" w:line="240" w:lineRule="auto"/>
        <w:ind w:firstLine="0"/>
        <w:jc w:val="both"/>
      </w:pPr>
      <w:r>
        <w:t>附件三</w:t>
      </w:r>
    </w:p>
    <w:p>
      <w:pPr>
        <w:pStyle w:val="11"/>
        <w:spacing w:line="634" w:lineRule="exact"/>
        <w:ind w:left="3960" w:firstLine="0"/>
      </w:pPr>
      <w:r>
        <w:rPr>
          <w:b/>
          <w:bCs/>
        </w:rPr>
        <w:t>投标确认函</w:t>
      </w:r>
    </w:p>
    <w:p>
      <w:pPr>
        <w:pStyle w:val="11"/>
        <w:tabs>
          <w:tab w:val="left" w:pos="1787"/>
        </w:tabs>
        <w:spacing w:after="0" w:line="630" w:lineRule="exact"/>
        <w:ind w:firstLine="520" w:firstLineChars="200"/>
        <w:jc w:val="both"/>
        <w:rPr>
          <w:lang w:val="en-US" w:eastAsia="zh-CN"/>
        </w:rPr>
      </w:pPr>
      <w:r>
        <w:rPr>
          <w:rFonts w:hint="eastAsia"/>
          <w:lang w:val="en-US" w:eastAsia="zh-CN"/>
        </w:rPr>
        <w:t>致：启润轮胎（日照）有限公司</w:t>
      </w:r>
    </w:p>
    <w:p>
      <w:pPr>
        <w:pStyle w:val="11"/>
        <w:tabs>
          <w:tab w:val="left" w:pos="1787"/>
        </w:tabs>
        <w:spacing w:after="0" w:line="630" w:lineRule="exact"/>
        <w:ind w:firstLine="520" w:firstLineChars="200"/>
        <w:jc w:val="both"/>
        <w:rPr>
          <w:lang w:val="en-US" w:eastAsia="zh-CN"/>
        </w:rPr>
      </w:pPr>
      <w:r>
        <w:rPr>
          <w:rFonts w:hint="eastAsia"/>
          <w:lang w:val="en-US" w:eastAsia="zh-CN"/>
        </w:rPr>
        <w:t>关于贵司编号为GMGYL-202205的招标项目，我司现确认并承诺如下：</w:t>
      </w:r>
    </w:p>
    <w:p>
      <w:pPr>
        <w:pStyle w:val="11"/>
        <w:tabs>
          <w:tab w:val="left" w:pos="1787"/>
        </w:tabs>
        <w:spacing w:after="0" w:line="630" w:lineRule="exact"/>
        <w:ind w:firstLine="520" w:firstLineChars="200"/>
        <w:jc w:val="both"/>
        <w:rPr>
          <w:lang w:val="en-US" w:eastAsia="zh-CN"/>
        </w:rPr>
      </w:pPr>
      <w:bookmarkStart w:id="63" w:name="bookmark83"/>
      <w:bookmarkEnd w:id="63"/>
      <w:r>
        <w:rPr>
          <w:rFonts w:hint="eastAsia"/>
          <w:lang w:val="en-US" w:eastAsia="zh-CN"/>
        </w:rPr>
        <w:t>我司已经仔细阅读研究了全部招标文件，包括修改文件（如有）和有关附件，并与招标经办人进行沟通和答疑了解相关情况，将自行承担因对招标文件理解不正确或误解而产生的相应后果。</w:t>
      </w:r>
    </w:p>
    <w:p>
      <w:pPr>
        <w:pStyle w:val="11"/>
        <w:tabs>
          <w:tab w:val="left" w:pos="1787"/>
        </w:tabs>
        <w:spacing w:after="0" w:line="630" w:lineRule="exact"/>
        <w:ind w:firstLine="520" w:firstLineChars="200"/>
        <w:jc w:val="both"/>
        <w:rPr>
          <w:lang w:val="en-US" w:eastAsia="zh-CN"/>
        </w:rPr>
      </w:pPr>
      <w:bookmarkStart w:id="64" w:name="bookmark84"/>
      <w:bookmarkEnd w:id="64"/>
      <w:r>
        <w:rPr>
          <w:rFonts w:hint="eastAsia"/>
          <w:lang w:val="en-US" w:eastAsia="zh-CN"/>
        </w:rPr>
        <w:t>我司在此谨表示有积极的意愿承接上述项目。</w:t>
      </w:r>
    </w:p>
    <w:p>
      <w:pPr>
        <w:pStyle w:val="11"/>
        <w:tabs>
          <w:tab w:val="left" w:pos="1787"/>
        </w:tabs>
        <w:spacing w:after="0" w:line="630" w:lineRule="exact"/>
        <w:ind w:firstLine="520" w:firstLineChars="200"/>
        <w:jc w:val="both"/>
        <w:rPr>
          <w:lang w:val="en-US" w:eastAsia="zh-CN"/>
        </w:rPr>
      </w:pPr>
      <w:bookmarkStart w:id="65" w:name="bookmark85"/>
      <w:bookmarkEnd w:id="65"/>
      <w:r>
        <w:rPr>
          <w:rFonts w:hint="eastAsia"/>
          <w:lang w:val="en-US" w:eastAsia="zh-CN"/>
        </w:rPr>
        <w:t>我司己充分注意到招标文件中的所有内容和基本要求，并且充分认识到符合这些要求是我司的义务，我司将按招标文件的规定履行合同责任和义务。</w:t>
      </w:r>
    </w:p>
    <w:p>
      <w:pPr>
        <w:pStyle w:val="11"/>
        <w:tabs>
          <w:tab w:val="left" w:pos="1787"/>
        </w:tabs>
        <w:spacing w:after="0" w:line="630" w:lineRule="exact"/>
        <w:ind w:firstLine="520" w:firstLineChars="200"/>
        <w:jc w:val="both"/>
        <w:rPr>
          <w:lang w:val="en-US" w:eastAsia="zh-CN"/>
        </w:rPr>
      </w:pPr>
      <w:bookmarkStart w:id="66" w:name="bookmark86"/>
      <w:bookmarkEnd w:id="66"/>
      <w:r>
        <w:rPr>
          <w:rFonts w:hint="eastAsia"/>
          <w:lang w:val="en-US" w:eastAsia="zh-CN"/>
        </w:rPr>
        <w:t>我司将对贵司提供的相关资料予以保密。</w:t>
      </w:r>
    </w:p>
    <w:p>
      <w:pPr>
        <w:pStyle w:val="11"/>
        <w:tabs>
          <w:tab w:val="left" w:pos="1787"/>
        </w:tabs>
        <w:spacing w:after="0" w:line="630" w:lineRule="exact"/>
        <w:ind w:firstLine="520" w:firstLineChars="200"/>
        <w:jc w:val="both"/>
        <w:rPr>
          <w:lang w:val="en-US" w:eastAsia="zh-CN"/>
        </w:rPr>
      </w:pPr>
      <w:bookmarkStart w:id="67" w:name="bookmark87"/>
      <w:bookmarkEnd w:id="67"/>
      <w:r>
        <w:rPr>
          <w:rFonts w:hint="eastAsia"/>
          <w:lang w:val="en-US" w:eastAsia="zh-CN"/>
        </w:rPr>
        <w:t>我司同意在收到招标文件后，在规定期间内提供投标文件的全部内容，我们保证所提交的材料中所含的信息均为真实、准确、完整,且不具有任何误导性。</w:t>
      </w:r>
    </w:p>
    <w:p>
      <w:pPr>
        <w:pStyle w:val="11"/>
        <w:tabs>
          <w:tab w:val="left" w:pos="1787"/>
        </w:tabs>
        <w:spacing w:after="0" w:line="630" w:lineRule="exact"/>
        <w:ind w:firstLine="520" w:firstLineChars="200"/>
        <w:jc w:val="both"/>
        <w:rPr>
          <w:lang w:val="en-US" w:eastAsia="zh-CN"/>
        </w:rPr>
      </w:pPr>
      <w:bookmarkStart w:id="68" w:name="bookmark88"/>
      <w:bookmarkEnd w:id="68"/>
      <w:r>
        <w:rPr>
          <w:rFonts w:hint="eastAsia"/>
          <w:lang w:val="en-US" w:eastAsia="zh-CN"/>
        </w:rPr>
        <w:t>如违反上述承诺，我司愿根据招标文件要求承担相应责任。</w:t>
      </w:r>
    </w:p>
    <w:p>
      <w:pPr>
        <w:pStyle w:val="11"/>
        <w:tabs>
          <w:tab w:val="left" w:pos="1787"/>
        </w:tabs>
        <w:spacing w:after="0" w:line="630" w:lineRule="exact"/>
        <w:ind w:firstLine="520" w:firstLineChars="200"/>
        <w:jc w:val="both"/>
        <w:rPr>
          <w:lang w:val="en-US" w:eastAsia="zh-CN"/>
        </w:rPr>
      </w:pPr>
      <w:r>
        <w:rPr>
          <w:rFonts w:hint="eastAsia"/>
          <w:lang w:val="en-US" w:eastAsia="zh-CN"/>
        </w:rPr>
        <w:t>与本投标有关的一切正式往来通讯请寄</w:t>
      </w:r>
    </w:p>
    <w:p>
      <w:pPr>
        <w:pStyle w:val="11"/>
        <w:tabs>
          <w:tab w:val="left" w:pos="1787"/>
        </w:tabs>
        <w:spacing w:after="0" w:line="630" w:lineRule="exact"/>
        <w:ind w:firstLine="520" w:firstLineChars="200"/>
        <w:jc w:val="both"/>
        <w:rPr>
          <w:lang w:val="en-US" w:eastAsia="zh-CN"/>
        </w:rPr>
      </w:pPr>
      <w:r>
        <w:rPr>
          <w:rFonts w:hint="eastAsia"/>
          <w:lang w:val="en-US" w:eastAsia="zh-CN"/>
        </w:rPr>
        <w:t>通讯地址：</w:t>
      </w:r>
    </w:p>
    <w:p>
      <w:pPr>
        <w:pStyle w:val="11"/>
        <w:tabs>
          <w:tab w:val="left" w:pos="1787"/>
        </w:tabs>
        <w:spacing w:after="0" w:line="630" w:lineRule="exact"/>
        <w:ind w:firstLine="520" w:firstLineChars="200"/>
        <w:jc w:val="both"/>
        <w:rPr>
          <w:lang w:val="en-US" w:eastAsia="zh-CN"/>
        </w:rPr>
      </w:pPr>
      <w:r>
        <w:rPr>
          <w:rFonts w:hint="eastAsia"/>
          <w:lang w:val="en-US" w:eastAsia="zh-CN"/>
        </w:rPr>
        <w:t>联系人：</w:t>
      </w:r>
      <w:r>
        <w:rPr>
          <w:rFonts w:hint="eastAsia"/>
          <w:lang w:val="en-US" w:eastAsia="zh-CN"/>
        </w:rPr>
        <w:tab/>
      </w:r>
      <w:r>
        <w:rPr>
          <w:rFonts w:hint="eastAsia"/>
          <w:lang w:val="en-US" w:eastAsia="zh-CN"/>
        </w:rPr>
        <w:t>电话：</w:t>
      </w:r>
    </w:p>
    <w:p>
      <w:pPr>
        <w:pStyle w:val="11"/>
        <w:tabs>
          <w:tab w:val="left" w:pos="1787"/>
        </w:tabs>
        <w:spacing w:after="0" w:line="630" w:lineRule="exact"/>
        <w:ind w:firstLine="520" w:firstLineChars="200"/>
        <w:jc w:val="both"/>
        <w:rPr>
          <w:lang w:val="en-US" w:eastAsia="zh-CN"/>
        </w:rPr>
      </w:pPr>
      <w:r>
        <w:rPr>
          <w:rFonts w:hint="eastAsia"/>
          <w:lang w:val="en-US" w:eastAsia="zh-CN"/>
        </w:rPr>
        <w:t>投标人（公章）：</w:t>
      </w:r>
      <w:r>
        <w:rPr>
          <w:rFonts w:hint="eastAsia"/>
          <w:lang w:val="en-US" w:eastAsia="zh-CN"/>
        </w:rPr>
        <w:tab/>
      </w:r>
      <w:r>
        <w:rPr>
          <w:rFonts w:hint="eastAsia"/>
          <w:lang w:val="en-US" w:eastAsia="zh-CN"/>
        </w:rPr>
        <w:t>日期：</w:t>
      </w:r>
    </w:p>
    <w:p>
      <w:pPr>
        <w:pStyle w:val="11"/>
        <w:spacing w:after="320" w:line="240" w:lineRule="auto"/>
        <w:ind w:firstLine="840"/>
        <w:jc w:val="both"/>
      </w:pPr>
    </w:p>
    <w:p>
      <w:pPr>
        <w:pStyle w:val="11"/>
        <w:spacing w:after="320" w:line="240" w:lineRule="auto"/>
        <w:ind w:firstLine="840"/>
        <w:jc w:val="both"/>
      </w:pPr>
    </w:p>
    <w:p>
      <w:pPr>
        <w:pStyle w:val="11"/>
        <w:spacing w:after="320" w:line="240" w:lineRule="auto"/>
        <w:ind w:firstLine="840"/>
        <w:jc w:val="both"/>
      </w:pPr>
    </w:p>
    <w:p>
      <w:pPr>
        <w:pStyle w:val="11"/>
        <w:tabs>
          <w:tab w:val="left" w:pos="1787"/>
        </w:tabs>
        <w:spacing w:after="0" w:line="630" w:lineRule="exact"/>
        <w:ind w:firstLine="0"/>
        <w:jc w:val="both"/>
        <w:rPr>
          <w:lang w:val="en-US" w:eastAsia="zh-CN"/>
        </w:rPr>
      </w:pPr>
      <w:r>
        <w:rPr>
          <w:rFonts w:hint="eastAsia"/>
          <w:lang w:val="en-US" w:eastAsia="zh-CN"/>
        </w:rPr>
        <w:t>附件四</w:t>
      </w:r>
    </w:p>
    <w:p>
      <w:pPr>
        <w:pStyle w:val="11"/>
        <w:tabs>
          <w:tab w:val="left" w:pos="1787"/>
        </w:tabs>
        <w:spacing w:after="0" w:line="630" w:lineRule="exact"/>
        <w:ind w:firstLine="520" w:firstLineChars="200"/>
        <w:jc w:val="both"/>
        <w:rPr>
          <w:lang w:val="en-US" w:eastAsia="zh-CN"/>
        </w:rPr>
      </w:pPr>
      <w:r>
        <w:rPr>
          <w:rFonts w:hint="eastAsia"/>
          <w:lang w:val="en-US" w:eastAsia="zh-CN"/>
        </w:rPr>
        <w:t>法定代表人授权书</w:t>
      </w:r>
    </w:p>
    <w:p>
      <w:pPr>
        <w:pStyle w:val="11"/>
        <w:tabs>
          <w:tab w:val="left" w:pos="1787"/>
        </w:tabs>
        <w:spacing w:after="0" w:line="630" w:lineRule="exact"/>
        <w:ind w:firstLine="520" w:firstLineChars="200"/>
        <w:jc w:val="both"/>
        <w:rPr>
          <w:lang w:val="en-US" w:eastAsia="zh-CN"/>
        </w:rPr>
      </w:pPr>
      <w:r>
        <w:rPr>
          <w:rFonts w:hint="eastAsia"/>
          <w:lang w:val="en-US" w:eastAsia="zh-CN"/>
        </w:rPr>
        <w:t>致：启润轮胎（日照）有限公司</w:t>
      </w:r>
    </w:p>
    <w:p>
      <w:pPr>
        <w:pStyle w:val="11"/>
        <w:tabs>
          <w:tab w:val="left" w:pos="1787"/>
        </w:tabs>
        <w:spacing w:after="0" w:line="630" w:lineRule="exact"/>
        <w:ind w:firstLine="520" w:firstLineChars="200"/>
        <w:jc w:val="both"/>
        <w:rPr>
          <w:lang w:val="en-US" w:eastAsia="zh-CN"/>
        </w:rPr>
      </w:pPr>
      <w:r>
        <w:rPr>
          <w:rFonts w:hint="eastAsia"/>
          <w:u w:val="single"/>
          <w:lang w:val="en-US" w:eastAsia="zh-CN"/>
        </w:rPr>
        <w:t xml:space="preserve"> </w:t>
      </w:r>
      <w:r>
        <w:rPr>
          <w:rFonts w:hint="eastAsia"/>
          <w:u w:val="single"/>
          <w:lang w:val="en-US" w:eastAsia="zh-CN"/>
        </w:rPr>
        <w:tab/>
      </w:r>
      <w:r>
        <w:rPr>
          <w:rFonts w:hint="eastAsia"/>
          <w:u w:val="single"/>
          <w:lang w:val="en-US" w:eastAsia="zh-CN"/>
        </w:rPr>
        <w:tab/>
      </w:r>
      <w:r>
        <w:rPr>
          <w:rFonts w:hint="eastAsia"/>
          <w:u w:val="single"/>
          <w:lang w:val="en-US" w:eastAsia="zh-CN"/>
        </w:rPr>
        <w:t xml:space="preserve">         </w:t>
      </w:r>
      <w:r>
        <w:rPr>
          <w:rFonts w:hint="eastAsia"/>
          <w:lang w:val="en-US" w:eastAsia="zh-CN"/>
        </w:rPr>
        <w:t>法定代表人授权</w:t>
      </w:r>
      <w:r>
        <w:rPr>
          <w:rFonts w:hint="eastAsia"/>
          <w:u w:val="single"/>
          <w:lang w:val="en-US" w:eastAsia="zh-CN"/>
        </w:rPr>
        <w:t xml:space="preserve"> （投标人代表姓名） </w:t>
      </w:r>
      <w:r>
        <w:rPr>
          <w:rFonts w:hint="eastAsia"/>
          <w:lang w:val="en-US" w:eastAsia="zh-CN"/>
        </w:rPr>
        <w:t>为投标人代表，代表本公司参加贵司组织的编号为GMGYL-202205的招标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11"/>
        <w:tabs>
          <w:tab w:val="left" w:pos="1787"/>
        </w:tabs>
        <w:spacing w:after="0" w:line="630" w:lineRule="exact"/>
        <w:ind w:firstLine="520" w:firstLineChars="200"/>
        <w:jc w:val="both"/>
        <w:rPr>
          <w:lang w:val="en-US" w:eastAsia="zh-CN"/>
        </w:rPr>
      </w:pPr>
      <w:r>
        <w:rPr>
          <w:rFonts w:hint="eastAsia"/>
          <w:lang w:val="en-US" w:eastAsia="zh-CN"/>
        </w:rPr>
        <w:t>本授权书自出具之日起生效。</w:t>
      </w:r>
    </w:p>
    <w:p>
      <w:pPr>
        <w:pStyle w:val="11"/>
        <w:tabs>
          <w:tab w:val="left" w:pos="1787"/>
        </w:tabs>
        <w:spacing w:after="0" w:line="630" w:lineRule="exact"/>
        <w:ind w:firstLine="520" w:firstLineChars="200"/>
        <w:jc w:val="both"/>
        <w:rPr>
          <w:lang w:val="en-US" w:eastAsia="zh-CN"/>
        </w:rPr>
      </w:pPr>
      <w:r>
        <w:rPr>
          <w:rFonts w:hint="eastAsia"/>
          <w:lang w:val="en-US" w:eastAsia="zh-CN"/>
        </w:rPr>
        <w:t>投标人代表：</w:t>
      </w:r>
      <w:r>
        <w:rPr>
          <w:rFonts w:hint="eastAsia"/>
          <w:lang w:val="en-US" w:eastAsia="zh-CN"/>
        </w:rPr>
        <w:tab/>
      </w:r>
      <w:r>
        <w:rPr>
          <w:rFonts w:hint="eastAsia"/>
          <w:lang w:val="en-US" w:eastAsia="zh-CN"/>
        </w:rPr>
        <w:t>身份证号：</w:t>
      </w:r>
    </w:p>
    <w:p>
      <w:pPr>
        <w:pStyle w:val="11"/>
        <w:tabs>
          <w:tab w:val="left" w:pos="1787"/>
        </w:tabs>
        <w:spacing w:after="0" w:line="630" w:lineRule="exact"/>
        <w:ind w:firstLine="520" w:firstLineChars="200"/>
        <w:jc w:val="both"/>
        <w:rPr>
          <w:lang w:val="en-US" w:eastAsia="zh-CN"/>
        </w:rPr>
      </w:pPr>
      <w:r>
        <w:rPr>
          <w:rFonts w:hint="eastAsia"/>
          <w:lang w:val="en-US" w:eastAsia="zh-CN"/>
        </w:rPr>
        <w:t>部门： 职务： 电话：</w:t>
      </w:r>
    </w:p>
    <w:p>
      <w:pPr>
        <w:pStyle w:val="11"/>
        <w:tabs>
          <w:tab w:val="left" w:pos="1787"/>
        </w:tabs>
        <w:spacing w:after="0" w:line="630" w:lineRule="exact"/>
        <w:ind w:firstLine="520" w:firstLineChars="200"/>
        <w:jc w:val="both"/>
        <w:rPr>
          <w:lang w:val="en-US" w:eastAsia="zh-CN"/>
        </w:rPr>
      </w:pPr>
      <w:r>
        <w:rPr>
          <w:rFonts w:hint="eastAsia"/>
          <w:lang w:val="en-US" w:eastAsia="zh-CN"/>
        </w:rPr>
        <w:t>电子邮箱：</w:t>
      </w:r>
    </w:p>
    <w:p>
      <w:pPr>
        <w:pStyle w:val="11"/>
        <w:tabs>
          <w:tab w:val="left" w:pos="1787"/>
        </w:tabs>
        <w:spacing w:after="0" w:line="630" w:lineRule="exact"/>
        <w:ind w:firstLine="520" w:firstLineChars="200"/>
        <w:jc w:val="both"/>
        <w:rPr>
          <w:lang w:val="en-US" w:eastAsia="zh-CN"/>
        </w:rPr>
      </w:pPr>
      <w:r>
        <w:rPr>
          <w:rFonts w:hint="eastAsia"/>
          <w:lang w:val="en-US" w:eastAsia="zh-CN"/>
        </w:rPr>
        <w:t>附：被授权人身份证</w:t>
      </w:r>
    </w:p>
    <w:p>
      <w:pPr>
        <w:pStyle w:val="11"/>
        <w:tabs>
          <w:tab w:val="left" w:pos="1787"/>
        </w:tabs>
        <w:spacing w:after="0" w:line="630" w:lineRule="exact"/>
        <w:ind w:firstLine="520" w:firstLineChars="200"/>
        <w:jc w:val="both"/>
        <w:rPr>
          <w:lang w:val="en-US" w:eastAsia="zh-CN"/>
        </w:rPr>
      </w:pPr>
      <w:r>
        <w:rPr>
          <w:rFonts w:hint="eastAsia"/>
          <w:lang w:val="en-US" w:eastAsia="zh-CN"/>
        </w:rPr>
        <w:t>粘贴被授权人身份证复印件（正反面）并加盖骑缝公章</w:t>
      </w:r>
    </w:p>
    <w:p>
      <w:pPr>
        <w:pStyle w:val="11"/>
        <w:tabs>
          <w:tab w:val="left" w:pos="1787"/>
        </w:tabs>
        <w:spacing w:after="0" w:line="630" w:lineRule="exact"/>
        <w:ind w:firstLine="520" w:firstLineChars="200"/>
        <w:jc w:val="both"/>
        <w:rPr>
          <w:lang w:val="en-US" w:eastAsia="zh-CN"/>
        </w:rPr>
      </w:pPr>
      <w:r>
        <w:rPr>
          <w:rFonts w:hint="eastAsia"/>
          <w:lang w:val="en-US" w:eastAsia="zh-CN"/>
        </w:rPr>
        <w:t>授权方：</w:t>
      </w:r>
    </w:p>
    <w:p>
      <w:pPr>
        <w:pStyle w:val="11"/>
        <w:tabs>
          <w:tab w:val="left" w:pos="1787"/>
        </w:tabs>
        <w:spacing w:after="0" w:line="630" w:lineRule="exact"/>
        <w:ind w:firstLine="520" w:firstLineChars="200"/>
        <w:jc w:val="both"/>
        <w:rPr>
          <w:lang w:val="en-US" w:eastAsia="zh-CN"/>
        </w:rPr>
      </w:pPr>
      <w:r>
        <w:rPr>
          <w:rFonts w:hint="eastAsia"/>
          <w:lang w:val="en-US" w:eastAsia="zh-CN"/>
        </w:rPr>
        <w:t>投标人（全称并加盖公章）：</w:t>
      </w:r>
    </w:p>
    <w:p>
      <w:pPr>
        <w:pStyle w:val="11"/>
        <w:tabs>
          <w:tab w:val="left" w:pos="1787"/>
        </w:tabs>
        <w:spacing w:after="0" w:line="630" w:lineRule="exact"/>
        <w:ind w:firstLine="520" w:firstLineChars="200"/>
        <w:jc w:val="both"/>
        <w:rPr>
          <w:lang w:val="en-US" w:eastAsia="zh-CN"/>
        </w:rPr>
      </w:pPr>
      <w:r>
        <w:rPr>
          <w:rFonts w:hint="eastAsia"/>
          <w:lang w:val="en-US" w:eastAsia="zh-CN"/>
        </w:rPr>
        <w:t>法定代表人签章：</w:t>
      </w:r>
      <w:r>
        <w:rPr>
          <w:rFonts w:hint="eastAsia"/>
          <w:lang w:val="en-US" w:eastAsia="zh-CN"/>
        </w:rPr>
        <w:tab/>
      </w:r>
      <w:r>
        <w:rPr>
          <w:rFonts w:hint="eastAsia"/>
          <w:lang w:val="en-US" w:eastAsia="zh-CN"/>
        </w:rPr>
        <w:t>日期：</w:t>
      </w:r>
    </w:p>
    <w:p>
      <w:pPr>
        <w:pStyle w:val="11"/>
        <w:tabs>
          <w:tab w:val="left" w:pos="1787"/>
        </w:tabs>
        <w:spacing w:after="0" w:line="630" w:lineRule="exact"/>
        <w:ind w:firstLine="520" w:firstLineChars="200"/>
        <w:jc w:val="both"/>
        <w:rPr>
          <w:lang w:val="en-US" w:eastAsia="zh-CN"/>
        </w:rPr>
      </w:pPr>
      <w:r>
        <w:rPr>
          <w:rFonts w:hint="eastAsia"/>
          <w:lang w:val="en-US" w:eastAsia="zh-CN"/>
        </w:rPr>
        <w:t>接受授权方：</w:t>
      </w:r>
    </w:p>
    <w:p>
      <w:pPr>
        <w:pStyle w:val="11"/>
        <w:tabs>
          <w:tab w:val="left" w:pos="1787"/>
        </w:tabs>
        <w:spacing w:after="0" w:line="630" w:lineRule="exact"/>
        <w:ind w:firstLine="520" w:firstLineChars="200"/>
        <w:jc w:val="both"/>
        <w:rPr>
          <w:lang w:val="en-US" w:eastAsia="zh-CN"/>
        </w:rPr>
        <w:sectPr>
          <w:headerReference r:id="rId15" w:type="default"/>
          <w:footerReference r:id="rId17" w:type="default"/>
          <w:headerReference r:id="rId16" w:type="even"/>
          <w:footerReference r:id="rId18" w:type="even"/>
          <w:pgSz w:w="11900" w:h="16840"/>
          <w:pgMar w:top="1535" w:right="550" w:bottom="1834" w:left="1118" w:header="0" w:footer="3" w:gutter="0"/>
          <w:cols w:space="720" w:num="1"/>
          <w:docGrid w:linePitch="360" w:charSpace="0"/>
        </w:sectPr>
      </w:pPr>
      <w:r>
        <w:rPr>
          <w:rFonts w:hint="eastAsia"/>
          <w:lang w:val="en-US" w:eastAsia="zh-CN"/>
        </w:rPr>
        <w:t>投标人代表签章：</w:t>
      </w:r>
      <w:r>
        <w:rPr>
          <w:rFonts w:hint="eastAsia"/>
          <w:lang w:val="en-US" w:eastAsia="zh-CN"/>
        </w:rPr>
        <w:tab/>
      </w:r>
      <w:r>
        <w:rPr>
          <w:rFonts w:hint="eastAsia"/>
          <w:lang w:val="en-US" w:eastAsia="zh-CN"/>
        </w:rPr>
        <w:t>日期:</w:t>
      </w:r>
    </w:p>
    <w:p>
      <w:pPr>
        <w:pStyle w:val="11"/>
        <w:spacing w:after="140" w:line="240" w:lineRule="auto"/>
        <w:ind w:left="2900" w:firstLine="0"/>
      </w:pPr>
      <w:r>
        <w:t>供应商情况简表</w:t>
      </w:r>
    </w:p>
    <w:tbl>
      <w:tblPr>
        <w:tblStyle w:val="5"/>
        <w:tblW w:w="0" w:type="auto"/>
        <w:jc w:val="center"/>
        <w:tblLayout w:type="fixed"/>
        <w:tblCellMar>
          <w:top w:w="0" w:type="dxa"/>
          <w:left w:w="10" w:type="dxa"/>
          <w:bottom w:w="0" w:type="dxa"/>
          <w:right w:w="10" w:type="dxa"/>
        </w:tblCellMar>
      </w:tblPr>
      <w:tblGrid>
        <w:gridCol w:w="1044"/>
        <w:gridCol w:w="1094"/>
        <w:gridCol w:w="2988"/>
        <w:gridCol w:w="1325"/>
        <w:gridCol w:w="1325"/>
        <w:gridCol w:w="1800"/>
      </w:tblGrid>
      <w:tr>
        <w:tblPrEx>
          <w:tblCellMar>
            <w:top w:w="0" w:type="dxa"/>
            <w:left w:w="10" w:type="dxa"/>
            <w:bottom w:w="0" w:type="dxa"/>
            <w:right w:w="10" w:type="dxa"/>
          </w:tblCellMar>
        </w:tblPrEx>
        <w:trPr>
          <w:trHeight w:val="497" w:hRule="exact"/>
          <w:jc w:val="center"/>
        </w:trPr>
        <w:tc>
          <w:tcPr>
            <w:tcW w:w="5126" w:type="dxa"/>
            <w:gridSpan w:val="3"/>
            <w:tcBorders>
              <w:top w:val="single" w:color="auto" w:sz="4" w:space="0"/>
              <w:left w:val="single" w:color="auto" w:sz="4" w:space="0"/>
            </w:tcBorders>
            <w:shd w:val="clear" w:color="auto" w:fill="FFFFFF"/>
          </w:tcPr>
          <w:p>
            <w:pPr>
              <w:pStyle w:val="21"/>
              <w:spacing w:before="100" w:after="0" w:line="240" w:lineRule="auto"/>
              <w:ind w:firstLine="0"/>
              <w:jc w:val="center"/>
              <w:rPr>
                <w:sz w:val="22"/>
                <w:szCs w:val="22"/>
              </w:rPr>
            </w:pPr>
            <w:r>
              <w:rPr>
                <w:sz w:val="22"/>
                <w:szCs w:val="22"/>
              </w:rPr>
              <w:t>项目</w:t>
            </w:r>
          </w:p>
        </w:tc>
        <w:tc>
          <w:tcPr>
            <w:tcW w:w="4450" w:type="dxa"/>
            <w:gridSpan w:val="3"/>
            <w:tcBorders>
              <w:top w:val="single" w:color="auto" w:sz="4" w:space="0"/>
              <w:left w:val="single" w:color="auto" w:sz="4" w:space="0"/>
              <w:right w:val="single" w:color="auto" w:sz="4" w:space="0"/>
            </w:tcBorders>
            <w:shd w:val="clear" w:color="auto" w:fill="FFFFFF"/>
            <w:vAlign w:val="bottom"/>
          </w:tcPr>
          <w:p>
            <w:pPr>
              <w:pStyle w:val="21"/>
              <w:tabs>
                <w:tab w:val="left" w:leader="underscore" w:pos="932"/>
                <w:tab w:val="left" w:pos="3358"/>
              </w:tabs>
              <w:spacing w:after="0" w:line="240" w:lineRule="auto"/>
              <w:ind w:left="-40" w:firstLine="0"/>
              <w:jc w:val="center"/>
              <w:rPr>
                <w:sz w:val="22"/>
                <w:szCs w:val="22"/>
              </w:rPr>
            </w:pPr>
            <w:r>
              <w:rPr>
                <w:sz w:val="22"/>
                <w:szCs w:val="22"/>
              </w:rPr>
              <w:tab/>
            </w:r>
            <w:r>
              <w:rPr>
                <w:sz w:val="22"/>
                <w:szCs w:val="22"/>
              </w:rPr>
              <w:t xml:space="preserve"> 供应商情况</w:t>
            </w:r>
            <w:r>
              <w:rPr>
                <w:sz w:val="22"/>
                <w:szCs w:val="22"/>
              </w:rPr>
              <w:tab/>
            </w:r>
            <w:r>
              <w:rPr>
                <w:sz w:val="22"/>
                <w:szCs w:val="22"/>
              </w:rPr>
              <w:t>~</w:t>
            </w:r>
          </w:p>
        </w:tc>
      </w:tr>
      <w:tr>
        <w:tblPrEx>
          <w:tblCellMar>
            <w:top w:w="0" w:type="dxa"/>
            <w:left w:w="10" w:type="dxa"/>
            <w:bottom w:w="0" w:type="dxa"/>
            <w:right w:w="10" w:type="dxa"/>
          </w:tblCellMar>
        </w:tblPrEx>
        <w:trPr>
          <w:trHeight w:val="655" w:hRule="exact"/>
          <w:jc w:val="center"/>
        </w:trPr>
        <w:tc>
          <w:tcPr>
            <w:tcW w:w="1044" w:type="dxa"/>
            <w:vMerge w:val="restart"/>
            <w:tcBorders>
              <w:top w:val="single" w:color="auto" w:sz="4" w:space="0"/>
              <w:left w:val="single" w:color="auto" w:sz="4" w:space="0"/>
            </w:tcBorders>
            <w:shd w:val="clear" w:color="auto" w:fill="FFFFFF"/>
            <w:vAlign w:val="center"/>
          </w:tcPr>
          <w:p>
            <w:pPr>
              <w:pStyle w:val="21"/>
              <w:spacing w:after="60" w:line="240" w:lineRule="auto"/>
              <w:ind w:firstLine="320"/>
              <w:rPr>
                <w:sz w:val="22"/>
                <w:szCs w:val="22"/>
              </w:rPr>
            </w:pPr>
            <w:r>
              <w:rPr>
                <w:sz w:val="22"/>
                <w:szCs w:val="22"/>
              </w:rPr>
              <w:t>企业</w:t>
            </w:r>
          </w:p>
          <w:p>
            <w:pPr>
              <w:pStyle w:val="21"/>
              <w:spacing w:after="0" w:line="240" w:lineRule="auto"/>
              <w:ind w:firstLine="0"/>
              <w:jc w:val="center"/>
              <w:rPr>
                <w:sz w:val="22"/>
                <w:szCs w:val="22"/>
              </w:rPr>
            </w:pPr>
            <w:r>
              <w:rPr>
                <w:sz w:val="22"/>
                <w:szCs w:val="22"/>
              </w:rPr>
              <w:t>条件</w:t>
            </w:r>
          </w:p>
        </w:tc>
        <w:tc>
          <w:tcPr>
            <w:tcW w:w="1094" w:type="dxa"/>
            <w:vMerge w:val="restart"/>
            <w:tcBorders>
              <w:top w:val="single" w:color="auto" w:sz="4" w:space="0"/>
              <w:left w:val="single" w:color="auto" w:sz="4" w:space="0"/>
            </w:tcBorders>
            <w:shd w:val="clear" w:color="auto" w:fill="FFFFFF"/>
            <w:vAlign w:val="center"/>
          </w:tcPr>
          <w:p>
            <w:pPr>
              <w:pStyle w:val="21"/>
              <w:spacing w:after="0" w:line="240" w:lineRule="auto"/>
              <w:ind w:firstLine="0"/>
              <w:rPr>
                <w:sz w:val="22"/>
                <w:szCs w:val="22"/>
              </w:rPr>
            </w:pPr>
            <w:r>
              <w:rPr>
                <w:sz w:val="22"/>
                <w:szCs w:val="22"/>
              </w:rPr>
              <w:t>企业规模</w:t>
            </w:r>
          </w:p>
        </w:tc>
        <w:tc>
          <w:tcPr>
            <w:tcW w:w="2988" w:type="dxa"/>
            <w:tcBorders>
              <w:top w:val="single" w:color="auto" w:sz="4" w:space="0"/>
              <w:left w:val="single" w:color="auto" w:sz="4" w:space="0"/>
            </w:tcBorders>
            <w:shd w:val="clear" w:color="auto" w:fill="FFFFFF"/>
            <w:vAlign w:val="center"/>
          </w:tcPr>
          <w:p>
            <w:pPr>
              <w:pStyle w:val="21"/>
              <w:tabs>
                <w:tab w:val="left" w:pos="1765"/>
              </w:tabs>
              <w:spacing w:after="0" w:line="240" w:lineRule="auto"/>
              <w:ind w:firstLine="260"/>
              <w:rPr>
                <w:sz w:val="22"/>
                <w:szCs w:val="22"/>
              </w:rPr>
            </w:pPr>
            <w:r>
              <w:rPr>
                <w:sz w:val="22"/>
                <w:szCs w:val="22"/>
              </w:rPr>
              <w:t>注册资本</w:t>
            </w:r>
            <w:r>
              <w:rPr>
                <w:sz w:val="22"/>
                <w:szCs w:val="22"/>
              </w:rPr>
              <w:tab/>
            </w:r>
            <w:r>
              <w:rPr>
                <w:sz w:val="22"/>
                <w:szCs w:val="22"/>
              </w:rPr>
              <w:t>（万元）</w:t>
            </w:r>
          </w:p>
        </w:tc>
        <w:tc>
          <w:tcPr>
            <w:tcW w:w="4450" w:type="dxa"/>
            <w:gridSpan w:val="3"/>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68" w:hRule="exact"/>
          <w:jc w:val="center"/>
        </w:trPr>
        <w:tc>
          <w:tcPr>
            <w:tcW w:w="1044" w:type="dxa"/>
            <w:vMerge w:val="continue"/>
            <w:tcBorders>
              <w:left w:val="single" w:color="auto" w:sz="4" w:space="0"/>
            </w:tcBorders>
            <w:shd w:val="clear" w:color="auto" w:fill="FFFFFF"/>
            <w:vAlign w:val="center"/>
          </w:tcPr>
          <w:p/>
        </w:tc>
        <w:tc>
          <w:tcPr>
            <w:tcW w:w="1094" w:type="dxa"/>
            <w:vMerge w:val="continue"/>
            <w:tcBorders>
              <w:left w:val="single" w:color="auto" w:sz="4" w:space="0"/>
            </w:tcBorders>
            <w:shd w:val="clear" w:color="auto" w:fill="FFFFFF"/>
            <w:vAlign w:val="center"/>
          </w:tcPr>
          <w:p/>
        </w:tc>
        <w:tc>
          <w:tcPr>
            <w:tcW w:w="2988" w:type="dxa"/>
            <w:tcBorders>
              <w:top w:val="single" w:color="auto" w:sz="4" w:space="0"/>
              <w:left w:val="single" w:color="auto" w:sz="4" w:space="0"/>
            </w:tcBorders>
            <w:shd w:val="clear" w:color="auto" w:fill="FFFFFF"/>
          </w:tcPr>
          <w:p>
            <w:pPr>
              <w:pStyle w:val="21"/>
              <w:spacing w:after="0" w:line="240" w:lineRule="auto"/>
              <w:ind w:left="1100" w:firstLine="0"/>
              <w:rPr>
                <w:sz w:val="22"/>
                <w:szCs w:val="22"/>
              </w:rPr>
            </w:pPr>
            <w:r>
              <w:rPr>
                <w:sz w:val="22"/>
                <w:szCs w:val="22"/>
              </w:rPr>
              <w:t>员工数</w:t>
            </w:r>
          </w:p>
        </w:tc>
        <w:tc>
          <w:tcPr>
            <w:tcW w:w="4450" w:type="dxa"/>
            <w:gridSpan w:val="3"/>
            <w:tcBorders>
              <w:top w:val="single" w:color="auto" w:sz="4" w:space="0"/>
              <w:left w:val="single" w:color="auto" w:sz="4" w:space="0"/>
              <w:right w:val="single" w:color="auto" w:sz="4" w:space="0"/>
            </w:tcBorders>
            <w:shd w:val="clear" w:color="auto" w:fill="FFFFFF"/>
          </w:tcPr>
          <w:p>
            <w:pPr>
              <w:pStyle w:val="21"/>
              <w:tabs>
                <w:tab w:val="left" w:leader="underscore" w:pos="1289"/>
              </w:tabs>
              <w:spacing w:after="0" w:line="240" w:lineRule="auto"/>
              <w:ind w:firstLine="0"/>
              <w:jc w:val="right"/>
              <w:rPr>
                <w:sz w:val="18"/>
                <w:szCs w:val="18"/>
              </w:rPr>
            </w:pPr>
          </w:p>
        </w:tc>
      </w:tr>
      <w:tr>
        <w:tblPrEx>
          <w:tblCellMar>
            <w:top w:w="0" w:type="dxa"/>
            <w:left w:w="10" w:type="dxa"/>
            <w:bottom w:w="0" w:type="dxa"/>
            <w:right w:w="10" w:type="dxa"/>
          </w:tblCellMar>
        </w:tblPrEx>
        <w:trPr>
          <w:trHeight w:val="533" w:hRule="exact"/>
          <w:jc w:val="center"/>
        </w:trPr>
        <w:tc>
          <w:tcPr>
            <w:tcW w:w="1044" w:type="dxa"/>
            <w:vMerge w:val="continue"/>
            <w:tcBorders>
              <w:left w:val="single" w:color="auto" w:sz="4" w:space="0"/>
            </w:tcBorders>
            <w:shd w:val="clear" w:color="auto" w:fill="FFFFFF"/>
            <w:vAlign w:val="center"/>
          </w:tcPr>
          <w:p/>
        </w:tc>
        <w:tc>
          <w:tcPr>
            <w:tcW w:w="1094" w:type="dxa"/>
            <w:vMerge w:val="continue"/>
            <w:tcBorders>
              <w:left w:val="single" w:color="auto" w:sz="4" w:space="0"/>
            </w:tcBorders>
            <w:shd w:val="clear" w:color="auto" w:fill="FFFFFF"/>
            <w:vAlign w:val="center"/>
          </w:tcPr>
          <w:p/>
        </w:tc>
        <w:tc>
          <w:tcPr>
            <w:tcW w:w="2988" w:type="dxa"/>
            <w:tcBorders>
              <w:top w:val="single" w:color="auto" w:sz="4" w:space="0"/>
              <w:left w:val="single" w:color="auto" w:sz="4" w:space="0"/>
            </w:tcBorders>
            <w:shd w:val="clear" w:color="auto" w:fill="FFFFFF"/>
            <w:vAlign w:val="center"/>
          </w:tcPr>
          <w:p>
            <w:pPr>
              <w:pStyle w:val="21"/>
              <w:spacing w:after="0" w:line="240" w:lineRule="auto"/>
              <w:ind w:firstLine="780"/>
              <w:rPr>
                <w:sz w:val="22"/>
                <w:szCs w:val="22"/>
              </w:rPr>
            </w:pPr>
            <w:r>
              <w:rPr>
                <w:sz w:val="22"/>
                <w:szCs w:val="22"/>
              </w:rPr>
              <w:t>专业技术人员</w:t>
            </w:r>
          </w:p>
        </w:tc>
        <w:tc>
          <w:tcPr>
            <w:tcW w:w="4450" w:type="dxa"/>
            <w:gridSpan w:val="3"/>
            <w:tcBorders>
              <w:top w:val="single" w:color="auto" w:sz="4" w:space="0"/>
              <w:left w:val="single" w:color="auto" w:sz="4" w:space="0"/>
              <w:right w:val="single" w:color="auto" w:sz="4" w:space="0"/>
            </w:tcBorders>
            <w:shd w:val="clear" w:color="auto" w:fill="FFFFFF"/>
          </w:tcPr>
          <w:p>
            <w:pPr>
              <w:pStyle w:val="21"/>
              <w:tabs>
                <w:tab w:val="left" w:leader="underscore" w:pos="1109"/>
                <w:tab w:val="left" w:leader="dot" w:pos="1130"/>
              </w:tabs>
              <w:spacing w:after="0" w:line="240" w:lineRule="auto"/>
              <w:ind w:firstLine="0"/>
              <w:jc w:val="right"/>
              <w:rPr>
                <w:sz w:val="18"/>
                <w:szCs w:val="18"/>
              </w:rPr>
            </w:pPr>
          </w:p>
        </w:tc>
      </w:tr>
      <w:tr>
        <w:tblPrEx>
          <w:tblCellMar>
            <w:top w:w="0" w:type="dxa"/>
            <w:left w:w="10" w:type="dxa"/>
            <w:bottom w:w="0" w:type="dxa"/>
            <w:right w:w="10" w:type="dxa"/>
          </w:tblCellMar>
        </w:tblPrEx>
        <w:trPr>
          <w:trHeight w:val="619" w:hRule="exact"/>
          <w:jc w:val="center"/>
        </w:trPr>
        <w:tc>
          <w:tcPr>
            <w:tcW w:w="1044" w:type="dxa"/>
            <w:vMerge w:val="continue"/>
            <w:tcBorders>
              <w:left w:val="single" w:color="auto" w:sz="4" w:space="0"/>
            </w:tcBorders>
            <w:shd w:val="clear" w:color="auto" w:fill="FFFFFF"/>
            <w:vAlign w:val="center"/>
          </w:tcPr>
          <w:p/>
        </w:tc>
        <w:tc>
          <w:tcPr>
            <w:tcW w:w="1094" w:type="dxa"/>
            <w:vMerge w:val="restart"/>
            <w:tcBorders>
              <w:top w:val="single" w:color="auto" w:sz="4" w:space="0"/>
              <w:left w:val="single" w:color="auto" w:sz="4" w:space="0"/>
            </w:tcBorders>
            <w:shd w:val="clear" w:color="auto" w:fill="FFFFFF"/>
            <w:vAlign w:val="center"/>
          </w:tcPr>
          <w:p>
            <w:pPr>
              <w:pStyle w:val="21"/>
              <w:spacing w:after="0" w:line="317" w:lineRule="exact"/>
              <w:ind w:firstLine="0"/>
              <w:jc w:val="center"/>
              <w:rPr>
                <w:sz w:val="22"/>
                <w:szCs w:val="22"/>
              </w:rPr>
            </w:pPr>
            <w:r>
              <w:rPr>
                <w:sz w:val="22"/>
                <w:szCs w:val="22"/>
              </w:rPr>
              <w:t>近三年企业财务状况</w:t>
            </w:r>
          </w:p>
        </w:tc>
        <w:tc>
          <w:tcPr>
            <w:tcW w:w="2988" w:type="dxa"/>
            <w:tcBorders>
              <w:top w:val="single" w:color="auto" w:sz="4" w:space="0"/>
              <w:left w:val="single" w:color="auto" w:sz="4" w:space="0"/>
            </w:tcBorders>
            <w:shd w:val="clear" w:color="auto" w:fill="FFFFFF"/>
            <w:vAlign w:val="center"/>
          </w:tcPr>
          <w:p>
            <w:pPr>
              <w:pStyle w:val="21"/>
              <w:spacing w:after="0" w:line="240" w:lineRule="auto"/>
              <w:ind w:firstLine="640"/>
              <w:rPr>
                <w:sz w:val="22"/>
                <w:szCs w:val="22"/>
              </w:rPr>
            </w:pPr>
            <w:r>
              <w:rPr>
                <w:sz w:val="22"/>
                <w:szCs w:val="22"/>
              </w:rPr>
              <w:t>总资产（万元）</w:t>
            </w:r>
          </w:p>
        </w:tc>
        <w:tc>
          <w:tcPr>
            <w:tcW w:w="1325" w:type="dxa"/>
            <w:tcBorders>
              <w:top w:val="single" w:color="auto" w:sz="4" w:space="0"/>
              <w:left w:val="single" w:color="auto" w:sz="4" w:space="0"/>
            </w:tcBorders>
            <w:shd w:val="clear" w:color="auto" w:fill="FFFFFF"/>
          </w:tcPr>
          <w:p>
            <w:pPr>
              <w:rPr>
                <w:sz w:val="10"/>
                <w:szCs w:val="10"/>
              </w:rPr>
            </w:pPr>
          </w:p>
        </w:tc>
        <w:tc>
          <w:tcPr>
            <w:tcW w:w="1325" w:type="dxa"/>
            <w:tcBorders>
              <w:top w:val="single" w:color="auto" w:sz="4" w:space="0"/>
              <w:left w:val="single" w:color="auto" w:sz="4" w:space="0"/>
            </w:tcBorders>
            <w:shd w:val="clear" w:color="auto" w:fill="FFFFFF"/>
          </w:tcPr>
          <w:p>
            <w:pPr>
              <w:rPr>
                <w:sz w:val="10"/>
                <w:szCs w:val="10"/>
              </w:rPr>
            </w:pPr>
          </w:p>
        </w:tc>
        <w:tc>
          <w:tcPr>
            <w:tcW w:w="1800" w:type="dxa"/>
            <w:tcBorders>
              <w:top w:val="single" w:color="auto" w:sz="4" w:space="0"/>
              <w:left w:val="single" w:color="auto" w:sz="4" w:space="0"/>
              <w:right w:val="single" w:color="auto" w:sz="4" w:space="0"/>
            </w:tcBorders>
            <w:shd w:val="clear" w:color="auto" w:fill="FFFFFF"/>
          </w:tcPr>
          <w:p>
            <w:pPr>
              <w:pStyle w:val="21"/>
              <w:tabs>
                <w:tab w:val="left" w:leader="hyphen" w:pos="569"/>
                <w:tab w:val="left" w:leader="dot" w:pos="1678"/>
              </w:tabs>
              <w:spacing w:after="0" w:line="240" w:lineRule="auto"/>
              <w:ind w:firstLine="0"/>
              <w:jc w:val="right"/>
              <w:rPr>
                <w:sz w:val="18"/>
                <w:szCs w:val="18"/>
              </w:rPr>
            </w:pPr>
          </w:p>
        </w:tc>
      </w:tr>
      <w:tr>
        <w:tblPrEx>
          <w:tblCellMar>
            <w:top w:w="0" w:type="dxa"/>
            <w:left w:w="10" w:type="dxa"/>
            <w:bottom w:w="0" w:type="dxa"/>
            <w:right w:w="10" w:type="dxa"/>
          </w:tblCellMar>
        </w:tblPrEx>
        <w:trPr>
          <w:trHeight w:val="749" w:hRule="exact"/>
          <w:jc w:val="center"/>
        </w:trPr>
        <w:tc>
          <w:tcPr>
            <w:tcW w:w="1044" w:type="dxa"/>
            <w:vMerge w:val="continue"/>
            <w:tcBorders>
              <w:left w:val="single" w:color="auto" w:sz="4" w:space="0"/>
            </w:tcBorders>
            <w:shd w:val="clear" w:color="auto" w:fill="FFFFFF"/>
            <w:vAlign w:val="center"/>
          </w:tcPr>
          <w:p/>
        </w:tc>
        <w:tc>
          <w:tcPr>
            <w:tcW w:w="1094" w:type="dxa"/>
            <w:vMerge w:val="continue"/>
            <w:tcBorders>
              <w:left w:val="single" w:color="auto" w:sz="4" w:space="0"/>
            </w:tcBorders>
            <w:shd w:val="clear" w:color="auto" w:fill="FFFFFF"/>
            <w:vAlign w:val="center"/>
          </w:tcPr>
          <w:p/>
        </w:tc>
        <w:tc>
          <w:tcPr>
            <w:tcW w:w="2988" w:type="dxa"/>
            <w:tcBorders>
              <w:top w:val="single" w:color="auto" w:sz="4" w:space="0"/>
              <w:left w:val="single" w:color="auto" w:sz="4" w:space="0"/>
            </w:tcBorders>
            <w:shd w:val="clear" w:color="auto" w:fill="FFFFFF"/>
            <w:vAlign w:val="center"/>
          </w:tcPr>
          <w:p>
            <w:pPr>
              <w:pStyle w:val="21"/>
              <w:spacing w:after="0" w:line="240" w:lineRule="auto"/>
              <w:ind w:firstLine="640"/>
              <w:rPr>
                <w:sz w:val="22"/>
                <w:szCs w:val="22"/>
              </w:rPr>
            </w:pPr>
            <w:r>
              <w:rPr>
                <w:sz w:val="22"/>
                <w:szCs w:val="22"/>
              </w:rPr>
              <w:t>净资产（万元）</w:t>
            </w:r>
          </w:p>
        </w:tc>
        <w:tc>
          <w:tcPr>
            <w:tcW w:w="1325" w:type="dxa"/>
            <w:tcBorders>
              <w:top w:val="single" w:color="auto" w:sz="4" w:space="0"/>
              <w:left w:val="single" w:color="auto" w:sz="4" w:space="0"/>
            </w:tcBorders>
            <w:shd w:val="clear" w:color="auto" w:fill="FFFFFF"/>
          </w:tcPr>
          <w:p>
            <w:pPr>
              <w:rPr>
                <w:sz w:val="10"/>
                <w:szCs w:val="10"/>
              </w:rPr>
            </w:pPr>
          </w:p>
        </w:tc>
        <w:tc>
          <w:tcPr>
            <w:tcW w:w="1325" w:type="dxa"/>
            <w:tcBorders>
              <w:top w:val="single" w:color="auto" w:sz="4" w:space="0"/>
              <w:left w:val="single" w:color="auto" w:sz="4" w:space="0"/>
            </w:tcBorders>
            <w:shd w:val="clear" w:color="auto" w:fill="FFFFFF"/>
          </w:tcPr>
          <w:p>
            <w:pPr>
              <w:rPr>
                <w:sz w:val="10"/>
                <w:szCs w:val="10"/>
              </w:rPr>
            </w:pPr>
          </w:p>
        </w:tc>
        <w:tc>
          <w:tcPr>
            <w:tcW w:w="1800" w:type="dxa"/>
            <w:tcBorders>
              <w:top w:val="single" w:color="auto" w:sz="4" w:space="0"/>
              <w:left w:val="single" w:color="auto" w:sz="4" w:space="0"/>
              <w:right w:val="single" w:color="auto" w:sz="4" w:space="0"/>
            </w:tcBorders>
            <w:shd w:val="clear" w:color="auto" w:fill="FFFFFF"/>
          </w:tcPr>
          <w:p>
            <w:pPr>
              <w:pStyle w:val="21"/>
              <w:spacing w:after="0" w:line="240" w:lineRule="auto"/>
              <w:ind w:firstLine="780"/>
              <w:rPr>
                <w:sz w:val="18"/>
                <w:szCs w:val="18"/>
              </w:rPr>
            </w:pPr>
          </w:p>
        </w:tc>
      </w:tr>
      <w:tr>
        <w:tblPrEx>
          <w:tblCellMar>
            <w:top w:w="0" w:type="dxa"/>
            <w:left w:w="10" w:type="dxa"/>
            <w:bottom w:w="0" w:type="dxa"/>
            <w:right w:w="10" w:type="dxa"/>
          </w:tblCellMar>
        </w:tblPrEx>
        <w:trPr>
          <w:trHeight w:val="641" w:hRule="exact"/>
          <w:jc w:val="center"/>
        </w:trPr>
        <w:tc>
          <w:tcPr>
            <w:tcW w:w="1044" w:type="dxa"/>
            <w:vMerge w:val="continue"/>
            <w:tcBorders>
              <w:left w:val="single" w:color="auto" w:sz="4" w:space="0"/>
            </w:tcBorders>
            <w:shd w:val="clear" w:color="auto" w:fill="FFFFFF"/>
            <w:vAlign w:val="center"/>
          </w:tcPr>
          <w:p/>
        </w:tc>
        <w:tc>
          <w:tcPr>
            <w:tcW w:w="1094" w:type="dxa"/>
            <w:vMerge w:val="continue"/>
            <w:tcBorders>
              <w:left w:val="single" w:color="auto" w:sz="4" w:space="0"/>
            </w:tcBorders>
            <w:shd w:val="clear" w:color="auto" w:fill="FFFFFF"/>
            <w:vAlign w:val="center"/>
          </w:tcPr>
          <w:p/>
        </w:tc>
        <w:tc>
          <w:tcPr>
            <w:tcW w:w="2988" w:type="dxa"/>
            <w:tcBorders>
              <w:top w:val="single" w:color="auto" w:sz="4" w:space="0"/>
              <w:left w:val="single" w:color="auto" w:sz="4" w:space="0"/>
            </w:tcBorders>
            <w:shd w:val="clear" w:color="auto" w:fill="FFFFFF"/>
            <w:vAlign w:val="center"/>
          </w:tcPr>
          <w:p>
            <w:pPr>
              <w:pStyle w:val="21"/>
              <w:tabs>
                <w:tab w:val="left" w:pos="1765"/>
              </w:tabs>
              <w:spacing w:after="0" w:line="240" w:lineRule="auto"/>
              <w:ind w:firstLine="260"/>
              <w:rPr>
                <w:sz w:val="22"/>
                <w:szCs w:val="22"/>
              </w:rPr>
            </w:pPr>
            <w:r>
              <w:rPr>
                <w:sz w:val="22"/>
                <w:szCs w:val="22"/>
              </w:rPr>
              <w:t>营业收入</w:t>
            </w:r>
            <w:r>
              <w:rPr>
                <w:sz w:val="22"/>
                <w:szCs w:val="22"/>
              </w:rPr>
              <w:tab/>
            </w:r>
            <w:r>
              <w:rPr>
                <w:sz w:val="22"/>
                <w:szCs w:val="22"/>
              </w:rPr>
              <w:t>（万元）</w:t>
            </w:r>
          </w:p>
        </w:tc>
        <w:tc>
          <w:tcPr>
            <w:tcW w:w="1325" w:type="dxa"/>
            <w:tcBorders>
              <w:top w:val="single" w:color="auto" w:sz="4" w:space="0"/>
              <w:left w:val="single" w:color="auto" w:sz="4" w:space="0"/>
            </w:tcBorders>
            <w:shd w:val="clear" w:color="auto" w:fill="FFFFFF"/>
          </w:tcPr>
          <w:p>
            <w:pPr>
              <w:rPr>
                <w:sz w:val="10"/>
                <w:szCs w:val="10"/>
              </w:rPr>
            </w:pPr>
          </w:p>
        </w:tc>
        <w:tc>
          <w:tcPr>
            <w:tcW w:w="1325" w:type="dxa"/>
            <w:tcBorders>
              <w:top w:val="single" w:color="auto" w:sz="4" w:space="0"/>
              <w:left w:val="single" w:color="auto" w:sz="4" w:space="0"/>
            </w:tcBorders>
            <w:shd w:val="clear" w:color="auto" w:fill="FFFFFF"/>
          </w:tcPr>
          <w:p>
            <w:pPr>
              <w:rPr>
                <w:sz w:val="10"/>
                <w:szCs w:val="10"/>
              </w:rPr>
            </w:pPr>
          </w:p>
        </w:tc>
        <w:tc>
          <w:tcPr>
            <w:tcW w:w="1800" w:type="dxa"/>
            <w:tcBorders>
              <w:top w:val="single" w:color="auto" w:sz="4" w:space="0"/>
              <w:left w:val="single" w:color="auto" w:sz="4" w:space="0"/>
              <w:right w:val="single" w:color="auto" w:sz="4" w:space="0"/>
            </w:tcBorders>
            <w:shd w:val="clear" w:color="auto" w:fill="FFFFFF"/>
          </w:tcPr>
          <w:p>
            <w:pPr>
              <w:pStyle w:val="21"/>
              <w:tabs>
                <w:tab w:val="left" w:leader="hyphen" w:pos="1594"/>
              </w:tabs>
              <w:spacing w:after="0" w:line="240" w:lineRule="auto"/>
              <w:ind w:firstLine="780"/>
              <w:rPr>
                <w:sz w:val="18"/>
                <w:szCs w:val="18"/>
              </w:rPr>
            </w:pPr>
          </w:p>
        </w:tc>
      </w:tr>
      <w:tr>
        <w:tblPrEx>
          <w:tblCellMar>
            <w:top w:w="0" w:type="dxa"/>
            <w:left w:w="10" w:type="dxa"/>
            <w:bottom w:w="0" w:type="dxa"/>
            <w:right w:w="10" w:type="dxa"/>
          </w:tblCellMar>
        </w:tblPrEx>
        <w:trPr>
          <w:trHeight w:val="605" w:hRule="exact"/>
          <w:jc w:val="center"/>
        </w:trPr>
        <w:tc>
          <w:tcPr>
            <w:tcW w:w="1044" w:type="dxa"/>
            <w:vMerge w:val="continue"/>
            <w:tcBorders>
              <w:left w:val="single" w:color="auto" w:sz="4" w:space="0"/>
            </w:tcBorders>
            <w:shd w:val="clear" w:color="auto" w:fill="FFFFFF"/>
            <w:vAlign w:val="center"/>
          </w:tcPr>
          <w:p/>
        </w:tc>
        <w:tc>
          <w:tcPr>
            <w:tcW w:w="1094" w:type="dxa"/>
            <w:vMerge w:val="continue"/>
            <w:tcBorders>
              <w:left w:val="single" w:color="auto" w:sz="4" w:space="0"/>
            </w:tcBorders>
            <w:shd w:val="clear" w:color="auto" w:fill="FFFFFF"/>
            <w:vAlign w:val="center"/>
          </w:tcPr>
          <w:p/>
        </w:tc>
        <w:tc>
          <w:tcPr>
            <w:tcW w:w="2988" w:type="dxa"/>
            <w:tcBorders>
              <w:top w:val="single" w:color="auto" w:sz="4" w:space="0"/>
              <w:left w:val="single" w:color="auto" w:sz="4" w:space="0"/>
            </w:tcBorders>
            <w:shd w:val="clear" w:color="auto" w:fill="FFFFFF"/>
            <w:vAlign w:val="center"/>
          </w:tcPr>
          <w:p>
            <w:pPr>
              <w:pStyle w:val="21"/>
              <w:spacing w:after="0" w:line="240" w:lineRule="auto"/>
              <w:ind w:firstLine="640"/>
              <w:rPr>
                <w:sz w:val="22"/>
                <w:szCs w:val="22"/>
              </w:rPr>
            </w:pPr>
            <w:r>
              <w:rPr>
                <w:sz w:val="22"/>
                <w:szCs w:val="22"/>
              </w:rPr>
              <w:t>资产负债率（%）</w:t>
            </w:r>
          </w:p>
        </w:tc>
        <w:tc>
          <w:tcPr>
            <w:tcW w:w="1325" w:type="dxa"/>
            <w:tcBorders>
              <w:top w:val="single" w:color="auto" w:sz="4" w:space="0"/>
              <w:left w:val="single" w:color="auto" w:sz="4" w:space="0"/>
            </w:tcBorders>
            <w:shd w:val="clear" w:color="auto" w:fill="FFFFFF"/>
          </w:tcPr>
          <w:p>
            <w:pPr>
              <w:rPr>
                <w:sz w:val="10"/>
                <w:szCs w:val="10"/>
              </w:rPr>
            </w:pPr>
          </w:p>
        </w:tc>
        <w:tc>
          <w:tcPr>
            <w:tcW w:w="1325" w:type="dxa"/>
            <w:tcBorders>
              <w:top w:val="single" w:color="auto" w:sz="4" w:space="0"/>
              <w:left w:val="single" w:color="auto" w:sz="4" w:space="0"/>
            </w:tcBorders>
            <w:shd w:val="clear" w:color="auto" w:fill="FFFFFF"/>
          </w:tcPr>
          <w:p>
            <w:pPr>
              <w:rPr>
                <w:sz w:val="10"/>
                <w:szCs w:val="10"/>
              </w:rPr>
            </w:pPr>
          </w:p>
        </w:tc>
        <w:tc>
          <w:tcPr>
            <w:tcW w:w="1800" w:type="dxa"/>
            <w:tcBorders>
              <w:top w:val="single" w:color="auto" w:sz="4" w:space="0"/>
              <w:left w:val="single" w:color="auto" w:sz="4" w:space="0"/>
              <w:right w:val="single" w:color="auto" w:sz="4" w:space="0"/>
            </w:tcBorders>
            <w:shd w:val="clear" w:color="auto" w:fill="FFFFFF"/>
          </w:tcPr>
          <w:p>
            <w:pPr>
              <w:pStyle w:val="21"/>
              <w:tabs>
                <w:tab w:val="left" w:leader="hyphen" w:pos="1569"/>
              </w:tabs>
              <w:spacing w:after="0" w:line="240" w:lineRule="auto"/>
              <w:ind w:firstLine="640"/>
              <w:rPr>
                <w:sz w:val="18"/>
                <w:szCs w:val="18"/>
              </w:rPr>
            </w:pPr>
          </w:p>
        </w:tc>
      </w:tr>
      <w:tr>
        <w:tblPrEx>
          <w:tblCellMar>
            <w:top w:w="0" w:type="dxa"/>
            <w:left w:w="10" w:type="dxa"/>
            <w:bottom w:w="0" w:type="dxa"/>
            <w:right w:w="10" w:type="dxa"/>
          </w:tblCellMar>
        </w:tblPrEx>
        <w:trPr>
          <w:trHeight w:val="1454" w:hRule="exact"/>
          <w:jc w:val="center"/>
        </w:trPr>
        <w:tc>
          <w:tcPr>
            <w:tcW w:w="1044" w:type="dxa"/>
            <w:vMerge w:val="continue"/>
            <w:tcBorders>
              <w:left w:val="single" w:color="auto" w:sz="4" w:space="0"/>
            </w:tcBorders>
            <w:shd w:val="clear" w:color="auto" w:fill="FFFFFF"/>
            <w:vAlign w:val="center"/>
          </w:tcPr>
          <w:p/>
        </w:tc>
        <w:tc>
          <w:tcPr>
            <w:tcW w:w="4082" w:type="dxa"/>
            <w:gridSpan w:val="2"/>
            <w:tcBorders>
              <w:top w:val="single" w:color="auto" w:sz="4" w:space="0"/>
              <w:left w:val="single" w:color="auto" w:sz="4" w:space="0"/>
            </w:tcBorders>
            <w:shd w:val="clear" w:color="auto" w:fill="FFFFFF"/>
            <w:vAlign w:val="center"/>
          </w:tcPr>
          <w:p>
            <w:pPr>
              <w:pStyle w:val="21"/>
              <w:spacing w:after="0" w:line="240" w:lineRule="auto"/>
              <w:ind w:firstLine="0"/>
              <w:jc w:val="center"/>
              <w:rPr>
                <w:sz w:val="22"/>
                <w:szCs w:val="22"/>
              </w:rPr>
            </w:pPr>
            <w:r>
              <w:rPr>
                <w:sz w:val="22"/>
                <w:szCs w:val="22"/>
              </w:rPr>
              <w:t>质量保证等体系及建立情况</w:t>
            </w:r>
          </w:p>
        </w:tc>
        <w:tc>
          <w:tcPr>
            <w:tcW w:w="4450" w:type="dxa"/>
            <w:gridSpan w:val="3"/>
            <w:tcBorders>
              <w:top w:val="single" w:color="auto" w:sz="4" w:space="0"/>
              <w:left w:val="single" w:color="auto" w:sz="4" w:space="0"/>
              <w:right w:val="single" w:color="auto" w:sz="4" w:space="0"/>
            </w:tcBorders>
            <w:shd w:val="clear" w:color="auto" w:fill="FFFFFF"/>
          </w:tcPr>
          <w:p>
            <w:pPr>
              <w:pStyle w:val="21"/>
              <w:tabs>
                <w:tab w:val="left" w:leader="hyphen" w:pos="1210"/>
              </w:tabs>
              <w:spacing w:after="0" w:line="240" w:lineRule="auto"/>
              <w:ind w:right="220" w:firstLine="0"/>
              <w:jc w:val="right"/>
              <w:rPr>
                <w:sz w:val="18"/>
                <w:szCs w:val="18"/>
              </w:rPr>
            </w:pPr>
          </w:p>
        </w:tc>
      </w:tr>
      <w:tr>
        <w:tblPrEx>
          <w:tblCellMar>
            <w:top w:w="0" w:type="dxa"/>
            <w:left w:w="10" w:type="dxa"/>
            <w:bottom w:w="0" w:type="dxa"/>
            <w:right w:w="10" w:type="dxa"/>
          </w:tblCellMar>
        </w:tblPrEx>
        <w:trPr>
          <w:trHeight w:val="1332" w:hRule="exact"/>
          <w:jc w:val="center"/>
        </w:trPr>
        <w:tc>
          <w:tcPr>
            <w:tcW w:w="1044" w:type="dxa"/>
            <w:vMerge w:val="continue"/>
            <w:tcBorders>
              <w:left w:val="single" w:color="auto" w:sz="4" w:space="0"/>
            </w:tcBorders>
            <w:shd w:val="clear" w:color="auto" w:fill="FFFFFF"/>
            <w:vAlign w:val="center"/>
          </w:tcPr>
          <w:p>
            <w:pPr>
              <w:rPr>
                <w:lang w:eastAsia="zh-CN"/>
              </w:rPr>
            </w:pPr>
          </w:p>
        </w:tc>
        <w:tc>
          <w:tcPr>
            <w:tcW w:w="4082" w:type="dxa"/>
            <w:gridSpan w:val="2"/>
            <w:tcBorders>
              <w:top w:val="single" w:color="auto" w:sz="4" w:space="0"/>
              <w:left w:val="single" w:color="auto" w:sz="4" w:space="0"/>
            </w:tcBorders>
            <w:shd w:val="clear" w:color="auto" w:fill="FFFFFF"/>
            <w:vAlign w:val="center"/>
          </w:tcPr>
          <w:p>
            <w:pPr>
              <w:pStyle w:val="21"/>
              <w:spacing w:after="0" w:line="240" w:lineRule="auto"/>
              <w:ind w:firstLine="0"/>
              <w:jc w:val="center"/>
              <w:rPr>
                <w:sz w:val="22"/>
                <w:szCs w:val="22"/>
              </w:rPr>
            </w:pPr>
            <w:r>
              <w:rPr>
                <w:sz w:val="22"/>
                <w:szCs w:val="22"/>
              </w:rPr>
              <w:t>银行资信等级及企业信用证明</w:t>
            </w:r>
          </w:p>
        </w:tc>
        <w:tc>
          <w:tcPr>
            <w:tcW w:w="4450" w:type="dxa"/>
            <w:gridSpan w:val="3"/>
            <w:tcBorders>
              <w:top w:val="single" w:color="auto" w:sz="4" w:space="0"/>
              <w:left w:val="single" w:color="auto" w:sz="4" w:space="0"/>
              <w:right w:val="single" w:color="auto" w:sz="4" w:space="0"/>
            </w:tcBorders>
            <w:shd w:val="clear" w:color="auto" w:fill="FFFFFF"/>
          </w:tcPr>
          <w:p>
            <w:pPr>
              <w:rPr>
                <w:sz w:val="10"/>
                <w:szCs w:val="10"/>
                <w:lang w:eastAsia="zh-CN"/>
              </w:rPr>
            </w:pPr>
          </w:p>
        </w:tc>
      </w:tr>
      <w:tr>
        <w:tblPrEx>
          <w:tblCellMar>
            <w:top w:w="0" w:type="dxa"/>
            <w:left w:w="10" w:type="dxa"/>
            <w:bottom w:w="0" w:type="dxa"/>
            <w:right w:w="10" w:type="dxa"/>
          </w:tblCellMar>
        </w:tblPrEx>
        <w:trPr>
          <w:trHeight w:val="1296" w:hRule="exact"/>
          <w:jc w:val="center"/>
        </w:trPr>
        <w:tc>
          <w:tcPr>
            <w:tcW w:w="5126" w:type="dxa"/>
            <w:gridSpan w:val="3"/>
            <w:tcBorders>
              <w:top w:val="single" w:color="auto" w:sz="4" w:space="0"/>
              <w:left w:val="single" w:color="auto" w:sz="4" w:space="0"/>
            </w:tcBorders>
            <w:shd w:val="clear" w:color="auto" w:fill="FFFFFF"/>
            <w:vAlign w:val="center"/>
          </w:tcPr>
          <w:p>
            <w:pPr>
              <w:pStyle w:val="21"/>
              <w:spacing w:after="0" w:line="240" w:lineRule="auto"/>
              <w:ind w:firstLine="0"/>
              <w:jc w:val="center"/>
              <w:rPr>
                <w:sz w:val="22"/>
                <w:szCs w:val="22"/>
              </w:rPr>
            </w:pPr>
            <w:r>
              <w:rPr>
                <w:sz w:val="22"/>
                <w:szCs w:val="22"/>
              </w:rPr>
              <w:t>资质、行业地位、认证情况</w:t>
            </w:r>
          </w:p>
        </w:tc>
        <w:tc>
          <w:tcPr>
            <w:tcW w:w="4450" w:type="dxa"/>
            <w:gridSpan w:val="3"/>
            <w:tcBorders>
              <w:top w:val="single" w:color="auto" w:sz="4" w:space="0"/>
              <w:left w:val="single" w:color="auto" w:sz="4" w:space="0"/>
              <w:right w:val="single" w:color="auto" w:sz="4" w:space="0"/>
            </w:tcBorders>
            <w:shd w:val="clear" w:color="auto" w:fill="FFFFFF"/>
          </w:tcPr>
          <w:p>
            <w:pPr>
              <w:pStyle w:val="21"/>
              <w:tabs>
                <w:tab w:val="left" w:leader="hyphen" w:pos="641"/>
              </w:tabs>
              <w:spacing w:after="0" w:line="240" w:lineRule="auto"/>
              <w:ind w:right="380" w:firstLine="0"/>
              <w:jc w:val="right"/>
              <w:rPr>
                <w:sz w:val="20"/>
                <w:szCs w:val="20"/>
              </w:rPr>
            </w:pPr>
          </w:p>
        </w:tc>
      </w:tr>
    </w:tbl>
    <w:p>
      <w:pPr>
        <w:pStyle w:val="11"/>
        <w:spacing w:after="760" w:line="240" w:lineRule="auto"/>
        <w:ind w:firstLine="0"/>
      </w:pPr>
    </w:p>
    <w:p>
      <w:pPr>
        <w:pStyle w:val="11"/>
        <w:spacing w:after="760" w:line="240" w:lineRule="auto"/>
        <w:ind w:firstLine="0"/>
      </w:pPr>
    </w:p>
    <w:p>
      <w:pPr>
        <w:pStyle w:val="11"/>
        <w:spacing w:after="760" w:line="240" w:lineRule="auto"/>
        <w:ind w:firstLine="0"/>
      </w:pPr>
    </w:p>
    <w:p>
      <w:pPr>
        <w:pStyle w:val="11"/>
        <w:spacing w:after="760" w:line="240" w:lineRule="auto"/>
        <w:ind w:firstLine="0"/>
      </w:pPr>
    </w:p>
    <w:p>
      <w:pPr>
        <w:pStyle w:val="11"/>
        <w:spacing w:after="760" w:line="240" w:lineRule="auto"/>
        <w:ind w:firstLine="0"/>
      </w:pPr>
      <w:r>
        <w:t>附件五</w:t>
      </w:r>
    </w:p>
    <w:p>
      <w:pPr>
        <w:pStyle w:val="11"/>
        <w:tabs>
          <w:tab w:val="left" w:pos="1787"/>
        </w:tabs>
        <w:spacing w:after="0" w:line="630" w:lineRule="exact"/>
        <w:ind w:firstLine="522" w:firstLineChars="200"/>
        <w:jc w:val="center"/>
        <w:rPr>
          <w:lang w:val="en-US" w:eastAsia="zh-CN"/>
        </w:rPr>
      </w:pPr>
      <w:bookmarkStart w:id="69" w:name="bookmark89"/>
      <w:bookmarkStart w:id="70" w:name="bookmark90"/>
      <w:bookmarkStart w:id="71" w:name="bookmark91"/>
      <w:r>
        <w:rPr>
          <w:rFonts w:hint="eastAsia"/>
          <w:b/>
          <w:bCs/>
          <w:lang w:val="en-US" w:eastAsia="zh-CN"/>
        </w:rPr>
        <w:t>廉洁投标承诺书</w:t>
      </w:r>
      <w:bookmarkEnd w:id="69"/>
      <w:bookmarkEnd w:id="70"/>
      <w:bookmarkEnd w:id="71"/>
    </w:p>
    <w:p>
      <w:pPr>
        <w:pStyle w:val="11"/>
        <w:tabs>
          <w:tab w:val="left" w:pos="1787"/>
        </w:tabs>
        <w:spacing w:after="0" w:line="630" w:lineRule="exact"/>
        <w:ind w:firstLine="520" w:firstLineChars="200"/>
        <w:jc w:val="both"/>
        <w:rPr>
          <w:lang w:val="en-US" w:eastAsia="zh-CN"/>
        </w:rPr>
      </w:pPr>
      <w:r>
        <w:rPr>
          <w:rFonts w:hint="eastAsia"/>
          <w:lang w:val="en-US" w:eastAsia="zh-CN"/>
        </w:rPr>
        <w:t>致：启润轮胎（日照）有限公司</w:t>
      </w:r>
    </w:p>
    <w:p>
      <w:pPr>
        <w:pStyle w:val="11"/>
        <w:tabs>
          <w:tab w:val="left" w:pos="1787"/>
        </w:tabs>
        <w:spacing w:after="0" w:line="630" w:lineRule="exact"/>
        <w:ind w:firstLine="520" w:firstLineChars="200"/>
        <w:jc w:val="both"/>
        <w:rPr>
          <w:lang w:val="en-US" w:eastAsia="zh-CN"/>
        </w:rPr>
      </w:pPr>
      <w:r>
        <w:rPr>
          <w:rFonts w:hint="eastAsia"/>
          <w:lang w:val="en-US" w:eastAsia="zh-CN"/>
        </w:rPr>
        <w:t>为了积极配合贵单位进行的编号为GMGYL-202205的招标项目的招标工作，有效遏制不公平竞争和违规违纪问题的发生,确保招标工作的公平、公正、公开，我们保证认真贯彻《招投标法》等相关规定以及有关廉洁要求，特向贵单位承诺如下事项：</w:t>
      </w:r>
    </w:p>
    <w:p>
      <w:pPr>
        <w:pStyle w:val="11"/>
        <w:tabs>
          <w:tab w:val="left" w:pos="1787"/>
        </w:tabs>
        <w:spacing w:after="0" w:line="630" w:lineRule="exact"/>
        <w:ind w:firstLine="520" w:firstLineChars="200"/>
        <w:jc w:val="both"/>
        <w:rPr>
          <w:lang w:val="en-US" w:eastAsia="zh-CN"/>
        </w:rPr>
      </w:pPr>
      <w:bookmarkStart w:id="72" w:name="bookmark92"/>
      <w:bookmarkEnd w:id="72"/>
      <w:r>
        <w:rPr>
          <w:rFonts w:hint="eastAsia"/>
          <w:lang w:val="en-US" w:eastAsia="zh-CN"/>
        </w:rPr>
        <w:t>自觉遵守国家法律法规及有关廉政建设制度。</w:t>
      </w:r>
    </w:p>
    <w:p>
      <w:pPr>
        <w:pStyle w:val="11"/>
        <w:tabs>
          <w:tab w:val="left" w:pos="1787"/>
        </w:tabs>
        <w:spacing w:after="0" w:line="630" w:lineRule="exact"/>
        <w:ind w:firstLine="520" w:firstLineChars="200"/>
        <w:jc w:val="both"/>
        <w:rPr>
          <w:lang w:val="en-US" w:eastAsia="zh-CN"/>
        </w:rPr>
      </w:pPr>
      <w:bookmarkStart w:id="73" w:name="bookmark93"/>
      <w:bookmarkEnd w:id="73"/>
      <w:r>
        <w:rPr>
          <w:rFonts w:hint="eastAsia"/>
          <w:lang w:val="en-US" w:eastAsia="zh-CN"/>
        </w:rPr>
        <w:t>不使用不正当手段妨碍、排挤其它投标单位或串通投标。</w:t>
      </w:r>
    </w:p>
    <w:p>
      <w:pPr>
        <w:pStyle w:val="11"/>
        <w:tabs>
          <w:tab w:val="left" w:pos="1787"/>
        </w:tabs>
        <w:spacing w:after="0" w:line="630" w:lineRule="exact"/>
        <w:ind w:firstLine="520" w:firstLineChars="200"/>
        <w:jc w:val="both"/>
        <w:rPr>
          <w:lang w:val="en-US" w:eastAsia="zh-CN"/>
        </w:rPr>
      </w:pPr>
      <w:bookmarkStart w:id="74" w:name="bookmark94"/>
      <w:bookmarkEnd w:id="74"/>
      <w:r>
        <w:rPr>
          <w:rFonts w:hint="eastAsia"/>
          <w:lang w:val="en-US" w:eastAsia="zh-CN"/>
        </w:rPr>
        <w:t>按照招标文件规定的方式进行投标，不隐瞒本单位投标资质的真实情况，投标资质符合规定。</w:t>
      </w:r>
    </w:p>
    <w:p>
      <w:pPr>
        <w:pStyle w:val="11"/>
        <w:tabs>
          <w:tab w:val="left" w:pos="1787"/>
        </w:tabs>
        <w:spacing w:after="0" w:line="630" w:lineRule="exact"/>
        <w:ind w:firstLine="520" w:firstLineChars="200"/>
        <w:jc w:val="both"/>
        <w:rPr>
          <w:lang w:val="en-US" w:eastAsia="zh-CN"/>
        </w:rPr>
      </w:pPr>
      <w:bookmarkStart w:id="75" w:name="bookmark95"/>
      <w:bookmarkEnd w:id="75"/>
      <w:r>
        <w:rPr>
          <w:rFonts w:hint="eastAsia"/>
          <w:lang w:val="zh-CN" w:eastAsia="zh-CN"/>
        </w:rPr>
        <w:t>不</w:t>
      </w:r>
      <w:r>
        <w:rPr>
          <w:rFonts w:hint="eastAsia"/>
          <w:lang w:val="en-US" w:eastAsia="zh-CN"/>
        </w:rPr>
        <w:t>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pStyle w:val="11"/>
        <w:tabs>
          <w:tab w:val="left" w:pos="1787"/>
        </w:tabs>
        <w:spacing w:after="0" w:line="630" w:lineRule="exact"/>
        <w:ind w:firstLine="520" w:firstLineChars="200"/>
        <w:jc w:val="both"/>
        <w:rPr>
          <w:lang w:val="en-US" w:eastAsia="zh-CN"/>
        </w:rPr>
      </w:pPr>
      <w:bookmarkStart w:id="76" w:name="bookmark96"/>
      <w:bookmarkEnd w:id="76"/>
      <w:r>
        <w:rPr>
          <w:rFonts w:hint="eastAsia"/>
          <w:lang w:val="en-US" w:eastAsia="zh-CN"/>
        </w:rPr>
        <w:t>不向本项目涉及招标的单位及个人购置或提供通讯工具、交通工具和高档</w:t>
      </w:r>
      <w:r>
        <w:rPr>
          <w:rFonts w:hint="eastAsia"/>
          <w:lang w:val="en-US" w:eastAsia="zh-CN"/>
        </w:rPr>
        <w:fldChar w:fldCharType="begin"/>
      </w:r>
      <w:r>
        <w:rPr>
          <w:rFonts w:hint="eastAsia"/>
          <w:lang w:val="en-US" w:eastAsia="zh-CN"/>
        </w:rPr>
        <w:instrText xml:space="preserve"> TOC \o "1-5" \h \z </w:instrText>
      </w:r>
      <w:r>
        <w:rPr>
          <w:rFonts w:hint="eastAsia"/>
          <w:lang w:val="en-US" w:eastAsia="zh-CN"/>
        </w:rPr>
        <w:fldChar w:fldCharType="separate"/>
      </w:r>
      <w:bookmarkStart w:id="77" w:name="bookmark97"/>
      <w:r>
        <w:rPr>
          <w:rFonts w:hint="eastAsia"/>
          <w:lang w:val="en-US" w:eastAsia="zh-CN"/>
        </w:rPr>
        <w:t>办</w:t>
      </w:r>
      <w:bookmarkEnd w:id="77"/>
      <w:r>
        <w:rPr>
          <w:rFonts w:hint="eastAsia"/>
          <w:lang w:val="en-US" w:eastAsia="zh-CN"/>
        </w:rPr>
        <w:t>公用品等。</w:t>
      </w:r>
    </w:p>
    <w:p>
      <w:pPr>
        <w:pStyle w:val="11"/>
        <w:tabs>
          <w:tab w:val="left" w:pos="1787"/>
        </w:tabs>
        <w:spacing w:after="0" w:line="630" w:lineRule="exact"/>
        <w:ind w:firstLine="520" w:firstLineChars="200"/>
        <w:jc w:val="both"/>
        <w:rPr>
          <w:lang w:val="en-US" w:eastAsia="zh-CN"/>
        </w:rPr>
      </w:pPr>
      <w:bookmarkStart w:id="78" w:name="bookmark98"/>
      <w:bookmarkEnd w:id="78"/>
      <w:r>
        <w:rPr>
          <w:rFonts w:hint="eastAsia"/>
          <w:lang w:val="en-US" w:eastAsia="zh-CN"/>
        </w:rPr>
        <w:t>不向本项目所涉招标单位人员的配偶、子女分包此次招标项目。</w:t>
      </w:r>
      <w:r>
        <w:rPr>
          <w:rFonts w:hint="eastAsia"/>
          <w:lang w:val="en-US" w:eastAsia="zh-CN"/>
        </w:rPr>
        <w:tab/>
      </w:r>
    </w:p>
    <w:p>
      <w:pPr>
        <w:pStyle w:val="11"/>
        <w:tabs>
          <w:tab w:val="left" w:pos="1787"/>
        </w:tabs>
        <w:spacing w:after="0" w:line="630" w:lineRule="exact"/>
        <w:ind w:firstLine="520" w:firstLineChars="200"/>
        <w:jc w:val="both"/>
        <w:rPr>
          <w:lang w:val="en-US" w:eastAsia="zh-CN"/>
        </w:rPr>
      </w:pPr>
      <w:bookmarkStart w:id="79" w:name="bookmark99"/>
      <w:bookmarkEnd w:id="79"/>
      <w:r>
        <w:rPr>
          <w:rFonts w:hint="eastAsia"/>
          <w:lang w:val="en-US" w:eastAsia="zh-CN"/>
        </w:rPr>
        <w:t>不向本项目所涉招标单位人员支付好处费、介绍费。</w:t>
      </w:r>
      <w:r>
        <w:rPr>
          <w:rFonts w:hint="eastAsia"/>
          <w:lang w:val="en-US" w:eastAsia="zh-CN"/>
        </w:rPr>
        <w:tab/>
      </w:r>
      <w:r>
        <w:rPr>
          <w:rFonts w:hint="eastAsia"/>
          <w:lang w:val="en-US" w:eastAsia="zh-CN"/>
        </w:rPr>
        <w:fldChar w:fldCharType="end"/>
      </w:r>
    </w:p>
    <w:p>
      <w:pPr>
        <w:pStyle w:val="11"/>
        <w:tabs>
          <w:tab w:val="left" w:pos="1787"/>
        </w:tabs>
        <w:spacing w:after="0" w:line="630" w:lineRule="exact"/>
        <w:ind w:firstLine="520" w:firstLineChars="200"/>
        <w:jc w:val="both"/>
        <w:rPr>
          <w:lang w:val="en-US" w:eastAsia="zh-CN"/>
        </w:rPr>
      </w:pPr>
      <w:bookmarkStart w:id="80" w:name="bookmark100"/>
      <w:bookmarkEnd w:id="80"/>
      <w:r>
        <w:rPr>
          <w:rFonts w:hint="eastAsia"/>
          <w:lang w:val="en-US" w:eastAsia="zh-CN"/>
        </w:rPr>
        <w:t>一旦发现相关人员在招标过程中有索要财物等不廉洁行为，坚决予以抵制，并及时向厦门国贸集团股份有限公司监察室举报（举报电话：0592-5898563）。</w:t>
      </w:r>
    </w:p>
    <w:p>
      <w:pPr>
        <w:pStyle w:val="11"/>
        <w:tabs>
          <w:tab w:val="left" w:pos="1787"/>
        </w:tabs>
        <w:spacing w:after="0" w:line="630" w:lineRule="exact"/>
        <w:ind w:firstLine="520" w:firstLineChars="200"/>
        <w:jc w:val="both"/>
        <w:rPr>
          <w:lang w:val="en-US" w:eastAsia="zh-CN"/>
        </w:rPr>
      </w:pPr>
      <w:bookmarkStart w:id="81" w:name="bookmark101"/>
      <w:bookmarkEnd w:id="81"/>
      <w:r>
        <w:rPr>
          <w:rFonts w:hint="eastAsia"/>
          <w:lang w:val="en-US" w:eastAsia="zh-CN"/>
        </w:rPr>
        <w:t>我们若违反上述承诺，愿接受取消投标资格及其他任何形式的处理。</w:t>
      </w:r>
    </w:p>
    <w:p>
      <w:pPr>
        <w:pStyle w:val="11"/>
        <w:tabs>
          <w:tab w:val="left" w:pos="1787"/>
        </w:tabs>
        <w:spacing w:after="0" w:line="630" w:lineRule="exact"/>
        <w:ind w:firstLine="520" w:firstLineChars="200"/>
        <w:jc w:val="both"/>
        <w:rPr>
          <w:lang w:val="en-US" w:eastAsia="zh-CN"/>
        </w:rPr>
      </w:pPr>
      <w:r>
        <w:rPr>
          <w:rFonts w:hint="eastAsia"/>
          <w:lang w:val="en-US" w:eastAsia="zh-CN"/>
        </w:rPr>
        <w:t>投标人：（公章）日期：</w:t>
      </w:r>
    </w:p>
    <w:sectPr>
      <w:headerReference r:id="rId19" w:type="default"/>
      <w:footerReference r:id="rId21" w:type="default"/>
      <w:headerReference r:id="rId20" w:type="even"/>
      <w:footerReference r:id="rId22" w:type="even"/>
      <w:pgSz w:w="11900" w:h="16840"/>
      <w:pgMar w:top="1535" w:right="550" w:bottom="1834" w:left="1118"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9504" behindDoc="1" locked="0" layoutInCell="1" allowOverlap="1">
              <wp:simplePos x="0" y="0"/>
              <wp:positionH relativeFrom="page">
                <wp:posOffset>3744595</wp:posOffset>
              </wp:positionH>
              <wp:positionV relativeFrom="page">
                <wp:posOffset>9853295</wp:posOffset>
              </wp:positionV>
              <wp:extent cx="255905" cy="100330"/>
              <wp:effectExtent l="0" t="0" r="0" b="0"/>
              <wp:wrapNone/>
              <wp:docPr id="4" name="Shape 4"/>
              <wp:cNvGraphicFramePr/>
              <a:graphic xmlns:a="http://schemas.openxmlformats.org/drawingml/2006/main">
                <a:graphicData uri="http://schemas.microsoft.com/office/word/2010/wordprocessingShape">
                  <wps:wsp>
                    <wps:cNvSpPr txBox="1"/>
                    <wps:spPr>
                      <a:xfrm>
                        <a:off x="0" y="0"/>
                        <a:ext cx="255905" cy="100330"/>
                      </a:xfrm>
                      <a:prstGeom prst="rect">
                        <a:avLst/>
                      </a:prstGeom>
                      <a:noFill/>
                    </wps:spPr>
                    <wps:txbx>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wps:txbx>
                    <wps:bodyPr wrap="none" lIns="0" tIns="0" rIns="0" bIns="0">
                      <a:spAutoFit/>
                    </wps:bodyPr>
                  </wps:wsp>
                </a:graphicData>
              </a:graphic>
            </wp:anchor>
          </w:drawing>
        </mc:Choice>
        <mc:Fallback>
          <w:pict>
            <v:shape id="Shape 4" o:spid="_x0000_s1026" o:spt="202" type="#_x0000_t202" style="position:absolute;left:0pt;margin-left:294.85pt;margin-top:775.85pt;height:7.9pt;width:20.15pt;mso-position-horizontal-relative:page;mso-position-vertical-relative:page;mso-wrap-style:none;z-index:-251646976;mso-width-relative:page;mso-height-relative:page;" filled="f" stroked="f" coordsize="21600,21600" o:gfxdata="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eUJCDY&#10;AAAADQEAAA8AAAAAAAAAAQAgAAAAIgAAAGRycy9kb3ducmV2LnhtbFBLAQIUABQAAAAIAIdO4kAZ&#10;+qD1rgEAAG8DAAAOAAAAAAAAAAEAIAAAACcBAABkcnMvZTJvRG9jLnhtbFBLBQYAAAAABgAGAFkB&#10;AABHBQAAAAA=&#10;">
              <v:fill on="f" focussize="0,0"/>
              <v:stroke on="f"/>
              <v:imagedata o:title=""/>
              <o:lock v:ext="edit" aspectratio="f"/>
              <v:textbox inset="0mm,0mm,0mm,0mm" style="mso-fit-shape-to-text:t;">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9504" behindDoc="1" locked="0" layoutInCell="1" allowOverlap="1">
              <wp:simplePos x="0" y="0"/>
              <wp:positionH relativeFrom="page">
                <wp:posOffset>3744595</wp:posOffset>
              </wp:positionH>
              <wp:positionV relativeFrom="page">
                <wp:posOffset>9853295</wp:posOffset>
              </wp:positionV>
              <wp:extent cx="255905"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255905" cy="100330"/>
                      </a:xfrm>
                      <a:prstGeom prst="rect">
                        <a:avLst/>
                      </a:prstGeom>
                      <a:noFill/>
                    </wps:spPr>
                    <wps:txbx>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wps:txbx>
                    <wps:bodyPr wrap="none" lIns="0" tIns="0" rIns="0" bIns="0">
                      <a:spAutoFit/>
                    </wps:bodyPr>
                  </wps:wsp>
                </a:graphicData>
              </a:graphic>
            </wp:anchor>
          </w:drawing>
        </mc:Choice>
        <mc:Fallback>
          <w:pict>
            <v:shape id="Shape 9" o:spid="_x0000_s1026" o:spt="202" type="#_x0000_t202" style="position:absolute;left:0pt;margin-left:294.85pt;margin-top:775.85pt;height:7.9pt;width:20.15pt;mso-position-horizontal-relative:page;mso-position-vertical-relative:page;mso-wrap-style:none;z-index:-251646976;mso-width-relative:page;mso-height-relative:page;" filled="f" stroked="f" coordsize="21600,21600" o:gfxdata="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5QkINgA&#10;AAANAQAADwAAAAAAAAABACAAAAAiAAAAZHJzL2Rvd25yZXYueG1sUEsBAhQAFAAAAAgAh07iQALG&#10;GR6tAQAAbwMAAA4AAAAAAAAAAQAgAAAAJwEAAGRycy9lMm9Eb2MueG1sUEsFBgAAAAAGAAYAWQEA&#10;AEYFAAAAAA==&#10;">
              <v:fill on="f" focussize="0,0"/>
              <v:stroke on="f"/>
              <v:imagedata o:title=""/>
              <o:lock v:ext="edit" aspectratio="f"/>
              <v:textbox inset="0mm,0mm,0mm,0mm" style="mso-fit-shape-to-text:t;">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0528" behindDoc="1" locked="0" layoutInCell="1" allowOverlap="1">
              <wp:simplePos x="0" y="0"/>
              <wp:positionH relativeFrom="page">
                <wp:posOffset>3721735</wp:posOffset>
              </wp:positionH>
              <wp:positionV relativeFrom="page">
                <wp:posOffset>9862820</wp:posOffset>
              </wp:positionV>
              <wp:extent cx="251460" cy="95885"/>
              <wp:effectExtent l="0" t="0" r="0" b="0"/>
              <wp:wrapNone/>
              <wp:docPr id="14" name="Shape 14"/>
              <wp:cNvGraphicFramePr/>
              <a:graphic xmlns:a="http://schemas.openxmlformats.org/drawingml/2006/main">
                <a:graphicData uri="http://schemas.microsoft.com/office/word/2010/wordprocessingShape">
                  <wps:wsp>
                    <wps:cNvSpPr txBox="1"/>
                    <wps:spPr>
                      <a:xfrm>
                        <a:off x="0" y="0"/>
                        <a:ext cx="251460" cy="95885"/>
                      </a:xfrm>
                      <a:prstGeom prst="rect">
                        <a:avLst/>
                      </a:prstGeom>
                      <a:noFill/>
                    </wps:spPr>
                    <wps:txbx>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wps:txbx>
                    <wps:bodyPr wrap="none" lIns="0" tIns="0" rIns="0" bIns="0">
                      <a:spAutoFit/>
                    </wps:bodyPr>
                  </wps:wsp>
                </a:graphicData>
              </a:graphic>
            </wp:anchor>
          </w:drawing>
        </mc:Choice>
        <mc:Fallback>
          <w:pict>
            <v:shape id="Shape 14" o:spid="_x0000_s1026" o:spt="202" type="#_x0000_t202" style="position:absolute;left:0pt;margin-left:293.05pt;margin-top:776.6pt;height:7.55pt;width:19.8pt;mso-position-horizontal-relative:page;mso-position-vertical-relative:page;mso-wrap-style:none;z-index:-251645952;mso-width-relative:page;mso-height-relative:page;" filled="f" stroked="f" coordsize="21600,21600" o:gfxdata="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sAaN2AAA&#10;AA0BAAAPAAAAAAAAAAEAIAAAACIAAABkcnMvZG93bnJldi54bWxQSwECFAAUAAAACACHTuJA0n1l&#10;I6wBAABwAwAADgAAAAAAAAABACAAAAAnAQAAZHJzL2Uyb0RvYy54bWxQSwUGAAAAAAYABgBZAQAA&#10;RQUAAAAA&#10;">
              <v:fill on="f" focussize="0,0"/>
              <v:stroke on="f"/>
              <v:imagedata o:title=""/>
              <o:lock v:ext="edit" aspectratio="f"/>
              <v:textbox inset="0mm,0mm,0mm,0mm" style="mso-fit-shape-to-text:t;">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2576" behindDoc="1" locked="0" layoutInCell="1" allowOverlap="1">
              <wp:simplePos x="0" y="0"/>
              <wp:positionH relativeFrom="page">
                <wp:posOffset>3721735</wp:posOffset>
              </wp:positionH>
              <wp:positionV relativeFrom="page">
                <wp:posOffset>9862820</wp:posOffset>
              </wp:positionV>
              <wp:extent cx="251460" cy="95885"/>
              <wp:effectExtent l="0" t="0" r="0" b="0"/>
              <wp:wrapNone/>
              <wp:docPr id="46" name="Shape 46"/>
              <wp:cNvGraphicFramePr/>
              <a:graphic xmlns:a="http://schemas.openxmlformats.org/drawingml/2006/main">
                <a:graphicData uri="http://schemas.microsoft.com/office/word/2010/wordprocessingShape">
                  <wps:wsp>
                    <wps:cNvSpPr txBox="1"/>
                    <wps:spPr>
                      <a:xfrm>
                        <a:off x="0" y="0"/>
                        <a:ext cx="251460" cy="95885"/>
                      </a:xfrm>
                      <a:prstGeom prst="rect">
                        <a:avLst/>
                      </a:prstGeom>
                      <a:noFill/>
                    </wps:spPr>
                    <wps:txbx>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wps:txbx>
                    <wps:bodyPr wrap="none" lIns="0" tIns="0" rIns="0" bIns="0">
                      <a:spAutoFit/>
                    </wps:bodyPr>
                  </wps:wsp>
                </a:graphicData>
              </a:graphic>
            </wp:anchor>
          </w:drawing>
        </mc:Choice>
        <mc:Fallback>
          <w:pict>
            <v:shape id="Shape 46" o:spid="_x0000_s1026" o:spt="202" type="#_x0000_t202" style="position:absolute;left:0pt;margin-left:293.05pt;margin-top:776.6pt;height:7.55pt;width:19.8pt;mso-position-horizontal-relative:page;mso-position-vertical-relative:page;mso-wrap-style:none;z-index:-251643904;mso-width-relative:page;mso-height-relative:page;" filled="f" stroked="f" coordsize="21600,21600" o:gfxdata="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7AGjdgA&#10;AAANAQAADwAAAAAAAAABACAAAAAiAAAAZHJzL2Rvd25yZXYueG1sUEsBAhQAFAAAAAgAh07iQGkb&#10;5tWtAQAAcAMAAA4AAAAAAAAAAQAgAAAAJwEAAGRycy9lMm9Eb2MueG1sUEsFBgAAAAAGAAYAWQEA&#10;AEYFAAAAAA==&#10;">
              <v:fill on="f" focussize="0,0"/>
              <v:stroke on="f"/>
              <v:imagedata o:title=""/>
              <o:lock v:ext="edit" aspectratio="f"/>
              <v:textbox inset="0mm,0mm,0mm,0mm" style="mso-fit-shape-to-text:t;">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1552" behindDoc="1" locked="0" layoutInCell="1" allowOverlap="1">
              <wp:simplePos x="0" y="0"/>
              <wp:positionH relativeFrom="page">
                <wp:posOffset>3721735</wp:posOffset>
              </wp:positionH>
              <wp:positionV relativeFrom="page">
                <wp:posOffset>9862820</wp:posOffset>
              </wp:positionV>
              <wp:extent cx="251460" cy="95885"/>
              <wp:effectExtent l="0" t="0" r="0" b="0"/>
              <wp:wrapNone/>
              <wp:docPr id="51" name="Shape 51"/>
              <wp:cNvGraphicFramePr/>
              <a:graphic xmlns:a="http://schemas.openxmlformats.org/drawingml/2006/main">
                <a:graphicData uri="http://schemas.microsoft.com/office/word/2010/wordprocessingShape">
                  <wps:wsp>
                    <wps:cNvSpPr txBox="1"/>
                    <wps:spPr>
                      <a:xfrm>
                        <a:off x="0" y="0"/>
                        <a:ext cx="251460" cy="95885"/>
                      </a:xfrm>
                      <a:prstGeom prst="rect">
                        <a:avLst/>
                      </a:prstGeom>
                      <a:noFill/>
                    </wps:spPr>
                    <wps:txbx>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wps:txbx>
                    <wps:bodyPr wrap="none" lIns="0" tIns="0" rIns="0" bIns="0">
                      <a:spAutoFit/>
                    </wps:bodyPr>
                  </wps:wsp>
                </a:graphicData>
              </a:graphic>
            </wp:anchor>
          </w:drawing>
        </mc:Choice>
        <mc:Fallback>
          <w:pict>
            <v:shape id="Shape 51" o:spid="_x0000_s1026" o:spt="202" type="#_x0000_t202" style="position:absolute;left:0pt;margin-left:293.05pt;margin-top:776.6pt;height:7.55pt;width:19.8pt;mso-position-horizontal-relative:page;mso-position-vertical-relative:page;mso-wrap-style:none;z-index:-251644928;mso-width-relative:page;mso-height-relative:page;" filled="f" stroked="f" coordsize="21600,21600" o:gfxdata="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7AGjdgA&#10;AAANAQAADwAAAAAAAAABACAAAAAiAAAAZHJzL2Rvd25yZXYueG1sUEsBAhQAFAAAAAgAh07iQFqs&#10;o7utAQAAcAMAAA4AAAAAAAAAAQAgAAAAJwEAAGRycy9lMm9Eb2MueG1sUEsFBgAAAAAGAAYAWQEA&#10;AEYFAAAAAA==&#10;">
              <v:fill on="f" focussize="0,0"/>
              <v:stroke on="f"/>
              <v:imagedata o:title=""/>
              <o:lock v:ext="edit" aspectratio="f"/>
              <v:textbox inset="0mm,0mm,0mm,0mm" style="mso-fit-shape-to-text:t;">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4624" behindDoc="1" locked="0" layoutInCell="1" allowOverlap="1">
              <wp:simplePos x="0" y="0"/>
              <wp:positionH relativeFrom="page">
                <wp:posOffset>3721735</wp:posOffset>
              </wp:positionH>
              <wp:positionV relativeFrom="page">
                <wp:posOffset>9862820</wp:posOffset>
              </wp:positionV>
              <wp:extent cx="251460" cy="95885"/>
              <wp:effectExtent l="0" t="0" r="0" b="0"/>
              <wp:wrapNone/>
              <wp:docPr id="56" name="Shape 56"/>
              <wp:cNvGraphicFramePr/>
              <a:graphic xmlns:a="http://schemas.openxmlformats.org/drawingml/2006/main">
                <a:graphicData uri="http://schemas.microsoft.com/office/word/2010/wordprocessingShape">
                  <wps:wsp>
                    <wps:cNvSpPr txBox="1"/>
                    <wps:spPr>
                      <a:xfrm>
                        <a:off x="0" y="0"/>
                        <a:ext cx="251460" cy="95885"/>
                      </a:xfrm>
                      <a:prstGeom prst="rect">
                        <a:avLst/>
                      </a:prstGeom>
                      <a:noFill/>
                    </wps:spPr>
                    <wps:txbx>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wps:txbx>
                    <wps:bodyPr wrap="none" lIns="0" tIns="0" rIns="0" bIns="0">
                      <a:spAutoFit/>
                    </wps:bodyPr>
                  </wps:wsp>
                </a:graphicData>
              </a:graphic>
            </wp:anchor>
          </w:drawing>
        </mc:Choice>
        <mc:Fallback>
          <w:pict>
            <v:shape id="Shape 56" o:spid="_x0000_s1026" o:spt="202" type="#_x0000_t202" style="position:absolute;left:0pt;margin-left:293.05pt;margin-top:776.6pt;height:7.55pt;width:19.8pt;mso-position-horizontal-relative:page;mso-position-vertical-relative:page;mso-wrap-style:none;z-index:-251641856;mso-width-relative:page;mso-height-relative:page;" filled="f" stroked="f" coordsize="21600,21600" o:gfxdata="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7AGjdgA&#10;AAANAQAADwAAAAAAAAABACAAAAAiAAAAZHJzL2Rvd25yZXYueG1sUEsBAhQAFAAAAAgAh07iQOlb&#10;hI2tAQAAcAMAAA4AAAAAAAAAAQAgAAAAJwEAAGRycy9lMm9Eb2MueG1sUEsFBgAAAAAGAAYAWQEA&#10;AEYFAAAAAA==&#10;">
              <v:fill on="f" focussize="0,0"/>
              <v:stroke on="f"/>
              <v:imagedata o:title=""/>
              <o:lock v:ext="edit" aspectratio="f"/>
              <v:textbox inset="0mm,0mm,0mm,0mm" style="mso-fit-shape-to-text:t;">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3600" behindDoc="1" locked="0" layoutInCell="1" allowOverlap="1">
              <wp:simplePos x="0" y="0"/>
              <wp:positionH relativeFrom="page">
                <wp:posOffset>3677285</wp:posOffset>
              </wp:positionH>
              <wp:positionV relativeFrom="page">
                <wp:posOffset>9822815</wp:posOffset>
              </wp:positionV>
              <wp:extent cx="320040" cy="100330"/>
              <wp:effectExtent l="0" t="0" r="0" b="0"/>
              <wp:wrapNone/>
              <wp:docPr id="61" name="Shape 61"/>
              <wp:cNvGraphicFramePr/>
              <a:graphic xmlns:a="http://schemas.openxmlformats.org/drawingml/2006/main">
                <a:graphicData uri="http://schemas.microsoft.com/office/word/2010/wordprocessingShape">
                  <wps:wsp>
                    <wps:cNvSpPr txBox="1"/>
                    <wps:spPr>
                      <a:xfrm>
                        <a:off x="0" y="0"/>
                        <a:ext cx="320040" cy="100330"/>
                      </a:xfrm>
                      <a:prstGeom prst="rect">
                        <a:avLst/>
                      </a:prstGeom>
                      <a:noFill/>
                    </wps:spPr>
                    <wps:txbx>
                      <w:txbxContent>
                        <w:p>
                          <w:pPr>
                            <w:pStyle w:val="19"/>
                            <w:rPr>
                              <w:sz w:val="17"/>
                              <w:szCs w:val="17"/>
                            </w:rPr>
                          </w:pPr>
                          <w:r>
                            <w:fldChar w:fldCharType="begin"/>
                          </w:r>
                          <w:r>
                            <w:instrText xml:space="preserve"> PAGE \* MERGEFORMAT </w:instrText>
                          </w:r>
                          <w:r>
                            <w:fldChar w:fldCharType="separate"/>
                          </w:r>
                          <w:r>
                            <w:rPr>
                              <w:rFonts w:ascii="Times New Roman" w:hAnsi="Times New Roman" w:eastAsia="Times New Roman" w:cs="Times New Roman"/>
                              <w:b/>
                              <w:bCs/>
                              <w:sz w:val="17"/>
                              <w:szCs w:val="17"/>
                            </w:rPr>
                            <w:t>#</w:t>
                          </w:r>
                          <w:r>
                            <w:rPr>
                              <w:rFonts w:ascii="Times New Roman" w:hAnsi="Times New Roman" w:eastAsia="Times New Roman" w:cs="Times New Roman"/>
                              <w:b/>
                              <w:bCs/>
                              <w:sz w:val="17"/>
                              <w:szCs w:val="17"/>
                            </w:rPr>
                            <w:fldChar w:fldCharType="end"/>
                          </w:r>
                          <w:r>
                            <w:rPr>
                              <w:rFonts w:ascii="Times New Roman" w:hAnsi="Times New Roman" w:eastAsia="Times New Roman" w:cs="Times New Roman"/>
                              <w:b/>
                              <w:bCs/>
                              <w:sz w:val="17"/>
                              <w:szCs w:val="17"/>
                            </w:rPr>
                            <w:t>/27</w:t>
                          </w:r>
                        </w:p>
                      </w:txbxContent>
                    </wps:txbx>
                    <wps:bodyPr wrap="none" lIns="0" tIns="0" rIns="0" bIns="0">
                      <a:spAutoFit/>
                    </wps:bodyPr>
                  </wps:wsp>
                </a:graphicData>
              </a:graphic>
            </wp:anchor>
          </w:drawing>
        </mc:Choice>
        <mc:Fallback>
          <w:pict>
            <v:shape id="Shape 61" o:spid="_x0000_s1026" o:spt="202" type="#_x0000_t202" style="position:absolute;left:0pt;margin-left:289.55pt;margin-top:773.45pt;height:7.9pt;width:25.2pt;mso-position-horizontal-relative:page;mso-position-vertical-relative:page;mso-wrap-style:none;z-index:-251642880;mso-width-relative:page;mso-height-relative:page;" filled="f" stroked="f" coordsize="21600,21600" o:gfxdata="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kHGrdgA&#10;AAANAQAADwAAAAAAAAABACAAAAAiAAAAZHJzL2Rvd25yZXYueG1sUEsBAhQAFAAAAAgAh07iQFJV&#10;1CWtAQAAcQMAAA4AAAAAAAAAAQAgAAAAJwEAAGRycy9lMm9Eb2MueG1sUEsFBgAAAAAGAAYAWQEA&#10;AEYFAAAAAA==&#10;">
              <v:fill on="f" focussize="0,0"/>
              <v:stroke on="f"/>
              <v:imagedata o:title=""/>
              <o:lock v:ext="edit" aspectratio="f"/>
              <v:textbox inset="0mm,0mm,0mm,0mm" style="mso-fit-shape-to-text:t;">
                <w:txbxContent>
                  <w:p>
                    <w:pPr>
                      <w:pStyle w:val="19"/>
                      <w:rPr>
                        <w:sz w:val="17"/>
                        <w:szCs w:val="17"/>
                      </w:rPr>
                    </w:pPr>
                    <w:r>
                      <w:fldChar w:fldCharType="begin"/>
                    </w:r>
                    <w:r>
                      <w:instrText xml:space="preserve"> PAGE \* MERGEFORMAT </w:instrText>
                    </w:r>
                    <w:r>
                      <w:fldChar w:fldCharType="separate"/>
                    </w:r>
                    <w:r>
                      <w:rPr>
                        <w:rFonts w:ascii="Times New Roman" w:hAnsi="Times New Roman" w:eastAsia="Times New Roman" w:cs="Times New Roman"/>
                        <w:b/>
                        <w:bCs/>
                        <w:sz w:val="17"/>
                        <w:szCs w:val="17"/>
                      </w:rPr>
                      <w:t>#</w:t>
                    </w:r>
                    <w:r>
                      <w:rPr>
                        <w:rFonts w:ascii="Times New Roman" w:hAnsi="Times New Roman" w:eastAsia="Times New Roman" w:cs="Times New Roman"/>
                        <w:b/>
                        <w:bCs/>
                        <w:sz w:val="17"/>
                        <w:szCs w:val="17"/>
                      </w:rPr>
                      <w:fldChar w:fldCharType="end"/>
                    </w:r>
                    <w:r>
                      <w:rPr>
                        <w:rFonts w:ascii="Times New Roman" w:hAnsi="Times New Roman" w:eastAsia="Times New Roman" w:cs="Times New Roman"/>
                        <w:b/>
                        <w:bCs/>
                        <w:sz w:val="17"/>
                        <w:szCs w:val="17"/>
                      </w:rPr>
                      <w:t>/27</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6672" behindDoc="1" locked="0" layoutInCell="1" allowOverlap="1">
              <wp:simplePos x="0" y="0"/>
              <wp:positionH relativeFrom="page">
                <wp:posOffset>3721735</wp:posOffset>
              </wp:positionH>
              <wp:positionV relativeFrom="page">
                <wp:posOffset>9862820</wp:posOffset>
              </wp:positionV>
              <wp:extent cx="251460" cy="95885"/>
              <wp:effectExtent l="0" t="0" r="0" b="0"/>
              <wp:wrapNone/>
              <wp:docPr id="66" name="Shape 66"/>
              <wp:cNvGraphicFramePr/>
              <a:graphic xmlns:a="http://schemas.openxmlformats.org/drawingml/2006/main">
                <a:graphicData uri="http://schemas.microsoft.com/office/word/2010/wordprocessingShape">
                  <wps:wsp>
                    <wps:cNvSpPr txBox="1"/>
                    <wps:spPr>
                      <a:xfrm>
                        <a:off x="0" y="0"/>
                        <a:ext cx="251460" cy="95885"/>
                      </a:xfrm>
                      <a:prstGeom prst="rect">
                        <a:avLst/>
                      </a:prstGeom>
                      <a:noFill/>
                    </wps:spPr>
                    <wps:txbx>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wps:txbx>
                    <wps:bodyPr wrap="none" lIns="0" tIns="0" rIns="0" bIns="0">
                      <a:spAutoFit/>
                    </wps:bodyPr>
                  </wps:wsp>
                </a:graphicData>
              </a:graphic>
            </wp:anchor>
          </w:drawing>
        </mc:Choice>
        <mc:Fallback>
          <w:pict>
            <v:shape id="Shape 66" o:spid="_x0000_s1026" o:spt="202" type="#_x0000_t202" style="position:absolute;left:0pt;margin-left:293.05pt;margin-top:776.6pt;height:7.55pt;width:19.8pt;mso-position-horizontal-relative:page;mso-position-vertical-relative:page;mso-wrap-style:none;z-index:-251639808;mso-width-relative:page;mso-height-relative:page;" filled="f" stroked="f" coordsize="21600,21600" o:gfxdata="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7AGjdgA&#10;AAANAQAADwAAAAAAAAABACAAAAAiAAAAZHJzL2Rvd25yZXYueG1sUEsBAhQAFAAAAAgAh07iQGma&#10;ImWtAQAAcAMAAA4AAAAAAAAAAQAgAAAAJwEAAGRycy9lMm9Eb2MueG1sUEsFBgAAAAAGAAYAWQEA&#10;AEYFAAAAAA==&#10;">
              <v:fill on="f" focussize="0,0"/>
              <v:stroke on="f"/>
              <v:imagedata o:title=""/>
              <o:lock v:ext="edit" aspectratio="f"/>
              <v:textbox inset="0mm,0mm,0mm,0mm" style="mso-fit-shape-to-text:t;">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5648" behindDoc="1" locked="0" layoutInCell="1" allowOverlap="1">
              <wp:simplePos x="0" y="0"/>
              <wp:positionH relativeFrom="page">
                <wp:posOffset>3721735</wp:posOffset>
              </wp:positionH>
              <wp:positionV relativeFrom="page">
                <wp:posOffset>9862820</wp:posOffset>
              </wp:positionV>
              <wp:extent cx="251460" cy="95885"/>
              <wp:effectExtent l="0" t="0" r="0" b="0"/>
              <wp:wrapNone/>
              <wp:docPr id="71" name="Shape 71"/>
              <wp:cNvGraphicFramePr/>
              <a:graphic xmlns:a="http://schemas.openxmlformats.org/drawingml/2006/main">
                <a:graphicData uri="http://schemas.microsoft.com/office/word/2010/wordprocessingShape">
                  <wps:wsp>
                    <wps:cNvSpPr txBox="1"/>
                    <wps:spPr>
                      <a:xfrm>
                        <a:off x="0" y="0"/>
                        <a:ext cx="251460" cy="95885"/>
                      </a:xfrm>
                      <a:prstGeom prst="rect">
                        <a:avLst/>
                      </a:prstGeom>
                      <a:noFill/>
                    </wps:spPr>
                    <wps:txbx>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wps:txbx>
                    <wps:bodyPr wrap="none" lIns="0" tIns="0" rIns="0" bIns="0">
                      <a:spAutoFit/>
                    </wps:bodyPr>
                  </wps:wsp>
                </a:graphicData>
              </a:graphic>
            </wp:anchor>
          </w:drawing>
        </mc:Choice>
        <mc:Fallback>
          <w:pict>
            <v:shape id="Shape 71" o:spid="_x0000_s1026" o:spt="202" type="#_x0000_t202" style="position:absolute;left:0pt;margin-left:293.05pt;margin-top:776.6pt;height:7.55pt;width:19.8pt;mso-position-horizontal-relative:page;mso-position-vertical-relative:page;mso-wrap-style:none;z-index:-251640832;mso-width-relative:page;mso-height-relative:page;" filled="f" stroked="f" coordsize="21600,21600" o:gfxdata="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7AGjdgA&#10;AAANAQAADwAAAAAAAAABACAAAAAiAAAAZHJzL2Rvd25yZXYueG1sUEsBAhQAFAAAAAgAh07iQFot&#10;ZwutAQAAcAMAAA4AAAAAAAAAAQAgAAAAJwEAAGRycy9lMm9Eb2MueG1sUEsFBgAAAAAGAAYAWQEA&#10;AEYFAAAAAA==&#10;">
              <v:fill on="f" focussize="0,0"/>
              <v:stroke on="f"/>
              <v:imagedata o:title=""/>
              <o:lock v:ext="edit" aspectratio="f"/>
              <v:textbox inset="0mm,0mm,0mm,0mm" style="mso-fit-shape-to-text:t;">
                <w:txbxContent>
                  <w:p>
                    <w:pPr>
                      <w:pStyle w:val="9"/>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r>
                      <w:rPr>
                        <w:b/>
                        <w:bCs/>
                        <w:sz w:val="17"/>
                        <w:szCs w:val="17"/>
                      </w:rPr>
                      <w:t>/27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8480" behindDoc="1" locked="0" layoutInCell="1" allowOverlap="1">
              <wp:simplePos x="0" y="0"/>
              <wp:positionH relativeFrom="page">
                <wp:posOffset>3118485</wp:posOffset>
              </wp:positionH>
              <wp:positionV relativeFrom="page">
                <wp:posOffset>590550</wp:posOffset>
              </wp:positionV>
              <wp:extent cx="1348740"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1348740" cy="105410"/>
                      </a:xfrm>
                      <a:prstGeom prst="rect">
                        <a:avLst/>
                      </a:prstGeom>
                      <a:noFill/>
                    </wps:spPr>
                    <wps:txbx>
                      <w:txbxContent>
                        <w:p>
                          <w:pPr>
                            <w:pStyle w:val="9"/>
                            <w:rPr>
                              <w:sz w:val="18"/>
                              <w:szCs w:val="18"/>
                            </w:rPr>
                          </w:pPr>
                          <w:r>
                            <w:rPr>
                              <w:rFonts w:ascii="宋体" w:hAnsi="宋体" w:eastAsia="宋体" w:cs="宋体"/>
                              <w:sz w:val="18"/>
                              <w:szCs w:val="18"/>
                            </w:rPr>
                            <w:t>国贸夭眼系统项目招标文件</w:t>
                          </w:r>
                        </w:p>
                      </w:txbxContent>
                    </wps:txbx>
                    <wps:bodyPr wrap="none" lIns="0" tIns="0" rIns="0" bIns="0">
                      <a:spAutoFit/>
                    </wps:bodyPr>
                  </wps:wsp>
                </a:graphicData>
              </a:graphic>
            </wp:anchor>
          </w:drawing>
        </mc:Choice>
        <mc:Fallback>
          <w:pict>
            <v:shape id="Shape 1" o:spid="_x0000_s1026" o:spt="202" type="#_x0000_t202" style="position:absolute;left:0pt;margin-left:245.55pt;margin-top:46.5pt;height:8.3pt;width:106.2pt;mso-position-horizontal-relative:page;mso-position-vertical-relative:page;mso-wrap-style:none;z-index:-251648000;mso-width-relative:page;mso-height-relative:page;" filled="f" stroked="f" coordsize="21600,21600" o:gfxdata="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cZzfXAAAA&#10;CgEAAA8AAAAAAAAAAQAgAAAAIgAAAGRycy9kb3ducmV2LnhtbFBLAQIUABQAAAAIAIdO4kAIKW2T&#10;rAEAAHADAAAOAAAAAAAAAAEAIAAAACYBAABkcnMvZTJvRG9jLnhtbFBLBQYAAAAABgAGAFkBAABE&#10;BQAAAAA=&#10;">
              <v:fill on="f" focussize="0,0"/>
              <v:stroke on="f"/>
              <v:imagedata o:title=""/>
              <o:lock v:ext="edit" aspectratio="f"/>
              <v:textbox inset="0mm,0mm,0mm,0mm" style="mso-fit-shape-to-text:t;">
                <w:txbxContent>
                  <w:p>
                    <w:pPr>
                      <w:pStyle w:val="9"/>
                      <w:rPr>
                        <w:sz w:val="18"/>
                        <w:szCs w:val="18"/>
                      </w:rPr>
                    </w:pPr>
                    <w:r>
                      <w:rPr>
                        <w:rFonts w:ascii="宋体" w:hAnsi="宋体" w:eastAsia="宋体" w:cs="宋体"/>
                        <w:sz w:val="18"/>
                        <w:szCs w:val="18"/>
                      </w:rPr>
                      <w:t>国贸夭眼系统项目招标文件</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1134110</wp:posOffset>
              </wp:positionH>
              <wp:positionV relativeFrom="page">
                <wp:posOffset>736600</wp:posOffset>
              </wp:positionV>
              <wp:extent cx="5303520" cy="0"/>
              <wp:effectExtent l="0" t="0" r="0" b="0"/>
              <wp:wrapNone/>
              <wp:docPr id="3" name="Shape 3"/>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a:solidFill>
                          <a:srgbClr val="FFFFFF"/>
                        </a:solidFill>
                      </a:ln>
                    </wps:spPr>
                    <wps:bodyPr/>
                  </wps:wsp>
                </a:graphicData>
              </a:graphic>
            </wp:anchor>
          </w:drawing>
        </mc:Choice>
        <mc:Fallback>
          <w:pict>
            <v:shape id="Shape 3" o:spid="_x0000_s1026" o:spt="32" type="#_x0000_t32" style="position:absolute;left:0pt;margin-left:89.3pt;margin-top:58pt;height:0pt;width:417.6pt;mso-position-horizontal-relative:page;mso-position-vertical-relative:page;z-index:-251656192;mso-width-relative:page;mso-height-relative:page;" filled="f" stroked="t" coordsize="21600,21600" o:gfxdata="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9Gf+M1gAAAAwBAAAPAAAA&#10;AAAAAAEAIAAAACIAAABkcnMvZG93bnJldi54bWxQSwECFAAUAAAACACHTuJA0bhyEaUBAABaAwAA&#10;DgAAAAAAAAABACAAAAAlAQAAZHJzL2Uyb0RvYy54bWxQSwUGAAAAAAYABgBZAQAAPAU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1134110</wp:posOffset>
              </wp:positionH>
              <wp:positionV relativeFrom="page">
                <wp:posOffset>736600</wp:posOffset>
              </wp:positionV>
              <wp:extent cx="5303520" cy="0"/>
              <wp:effectExtent l="0" t="6350" r="5080" b="6350"/>
              <wp:wrapNone/>
              <wp:docPr id="8" name="Shape 8"/>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a:solidFill>
                          <a:srgbClr val="FFFFFF"/>
                        </a:solidFill>
                      </a:ln>
                    </wps:spPr>
                    <wps:bodyPr/>
                  </wps:wsp>
                </a:graphicData>
              </a:graphic>
            </wp:anchor>
          </w:drawing>
        </mc:Choice>
        <mc:Fallback>
          <w:pict>
            <v:shape id="Shape 8" o:spid="_x0000_s1026" o:spt="32" type="#_x0000_t32" style="position:absolute;left:0pt;margin-left:89.3pt;margin-top:58pt;height:0pt;width:417.6pt;mso-position-horizontal-relative:page;mso-position-vertical-relative:page;z-index:-251657216;mso-width-relative:page;mso-height-relative:page;" filled="f" stroked="t" coordsize="21600,21600" o:gfxdata="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0Z/4zWAAAADAEAAA8AAAAA&#10;AAAAAQAgAAAAIgAAAGRycy9kb3ducmV2LnhtbFBLAQIUABQAAAAIAIdO4kAhyX3zpAEAAFoDAAAO&#10;AAAAAAAAAAEAIAAAACUBAABkcnMvZTJvRG9jLnhtbFBLBQYAAAAABgAGAFkBAAA7BQ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13" name="Shape 13"/>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13" o:spid="_x0000_s1026" o:spt="32" type="#_x0000_t32" style="position:absolute;left:0pt;margin-left:85.7pt;margin-top:58pt;height:0pt;width:419.75pt;mso-position-horizontal-relative:page;mso-position-vertical-relative:page;z-index:-251655168;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7Ff/x1gAAAAwBAAAPAAAA&#10;AAAAAAEAIAAAACIAAABkcnMvZG93bnJldi54bWxQSwECFAAUAAAACACHTuJAYbVt3KUBAABcAwAA&#10;DgAAAAAAAAABACAAAAAlAQAAZHJzL2Uyb0RvYy54bWxQSwUGAAAAAAYABgBZAQAAPA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3360"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45" name="Shape 45"/>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45" o:spid="_x0000_s1026" o:spt="32" type="#_x0000_t32" style="position:absolute;left:0pt;margin-left:85.7pt;margin-top:58pt;height:0pt;width:419.75pt;mso-position-horizontal-relative:page;mso-position-vertical-relative:page;z-index:-251653120;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Ja0CPWmAQAAXAMA&#10;AA4AAAAAAAAAAQAgAAAAJQEAAGRycy9lMm9Eb2MueG1sUEsFBgAAAAAGAAYAWQEAAD0FA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50" name="Shape 50"/>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50" o:spid="_x0000_s1026" o:spt="32" type="#_x0000_t32" style="position:absolute;left:0pt;margin-left:85.7pt;margin-top:58pt;height:0pt;width:419.75pt;mso-position-horizontal-relative:page;mso-position-vertical-relative:page;z-index:-251654144;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DKTA5OmAQAAXAMA&#10;AA4AAAAAAAAAAQAgAAAAJQEAAGRycy9lMm9Eb2MueG1sUEsFBgAAAAAGAAYAWQEAAD0FA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5408"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55" name="Shape 55"/>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55" o:spid="_x0000_s1026" o:spt="32" type="#_x0000_t32" style="position:absolute;left:0pt;margin-left:85.7pt;margin-top:58pt;height:0pt;width:419.75pt;mso-position-horizontal-relative:page;mso-position-vertical-relative:page;z-index:-251651072;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FUlLRSmAQAAXAMA&#10;AA4AAAAAAAAAAQAgAAAAJQEAAGRycy9lMm9Eb2MueG1sUEsFBgAAAAAGAAYAWQEAAD0FA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4384" behindDoc="1" locked="0" layoutInCell="1" allowOverlap="1">
              <wp:simplePos x="0" y="0"/>
              <wp:positionH relativeFrom="page">
                <wp:posOffset>1089660</wp:posOffset>
              </wp:positionH>
              <wp:positionV relativeFrom="page">
                <wp:posOffset>706120</wp:posOffset>
              </wp:positionV>
              <wp:extent cx="5317490" cy="0"/>
              <wp:effectExtent l="0" t="6350" r="3810" b="6350"/>
              <wp:wrapNone/>
              <wp:docPr id="60" name="Shape 60"/>
              <wp:cNvGraphicFramePr/>
              <a:graphic xmlns:a="http://schemas.openxmlformats.org/drawingml/2006/main">
                <a:graphicData uri="http://schemas.microsoft.com/office/word/2010/wordprocessingShape">
                  <wps:wsp>
                    <wps:cNvCnPr/>
                    <wps:spPr>
                      <a:xfrm>
                        <a:off x="0" y="0"/>
                        <a:ext cx="5317490" cy="0"/>
                      </a:xfrm>
                      <a:prstGeom prst="straightConnector1">
                        <a:avLst/>
                      </a:prstGeom>
                      <a:ln w="12700">
                        <a:solidFill>
                          <a:srgbClr val="FFFFFF"/>
                        </a:solidFill>
                      </a:ln>
                    </wps:spPr>
                    <wps:bodyPr/>
                  </wps:wsp>
                </a:graphicData>
              </a:graphic>
            </wp:anchor>
          </w:drawing>
        </mc:Choice>
        <mc:Fallback>
          <w:pict>
            <v:shape id="Shape 60" o:spid="_x0000_s1026" o:spt="32" type="#_x0000_t32" style="position:absolute;left:0pt;margin-left:85.8pt;margin-top:55.6pt;height:0pt;width:418.7pt;mso-position-horizontal-relative:page;mso-position-vertical-relative:page;z-index:-251652096;mso-width-relative:page;mso-height-relative:page;" filled="f" stroked="t" coordsize="21600,21600" o:gfxdata="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4DyudYAAAAMAQAADwAA&#10;AAAAAAABACAAAAAiAAAAZHJzL2Rvd25yZXYueG1sUEsBAhQAFAAAAAgAh07iQKZqxGSmAQAAXAMA&#10;AA4AAAAAAAAAAQAgAAAAJQEAAGRycy9lMm9Eb2MueG1sUEsFBgAAAAAGAAYAWQEAAD0FA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7456"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65" name="Shape 65"/>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65" o:spid="_x0000_s1026" o:spt="32" type="#_x0000_t32" style="position:absolute;left:0pt;margin-left:85.7pt;margin-top:58pt;height:0pt;width:419.75pt;mso-position-horizontal-relative:page;mso-position-vertical-relative:page;z-index:-251649024;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FGRMuymAQAAXAMA&#10;AA4AAAAAAAAAAQAgAAAAJQEAAGRycy9lMm9Eb2MueG1sUEsFBgAAAAAGAAYAWQEAAD0FA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6432" behindDoc="1" locked="0" layoutInCell="1" allowOverlap="1">
              <wp:simplePos x="0" y="0"/>
              <wp:positionH relativeFrom="page">
                <wp:posOffset>1088390</wp:posOffset>
              </wp:positionH>
              <wp:positionV relativeFrom="page">
                <wp:posOffset>736600</wp:posOffset>
              </wp:positionV>
              <wp:extent cx="5330825" cy="0"/>
              <wp:effectExtent l="0" t="6350" r="3175" b="6350"/>
              <wp:wrapNone/>
              <wp:docPr id="70" name="Shape 70"/>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srgbClr val="FFFFFF"/>
                        </a:solidFill>
                      </a:ln>
                    </wps:spPr>
                    <wps:bodyPr/>
                  </wps:wsp>
                </a:graphicData>
              </a:graphic>
            </wp:anchor>
          </w:drawing>
        </mc:Choice>
        <mc:Fallback>
          <w:pict>
            <v:shape id="Shape 70" o:spid="_x0000_s1026" o:spt="32" type="#_x0000_t32" style="position:absolute;left:0pt;margin-left:85.7pt;margin-top:58pt;height:0pt;width:419.75pt;mso-position-horizontal-relative:page;mso-position-vertical-relative:page;z-index:-251650048;mso-width-relative:page;mso-height-relative:page;" filled="f" stroked="t" coordsize="21600,21600" o:gfxdata="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X/8dYAAAAMAQAADwAA&#10;AAAAAAABACAAAAAiAAAAZHJzL2Rvd25yZXYueG1sUEsBAhQAFAAAAAgAh07iQPW2OYqmAQAAXAMA&#10;AA4AAAAAAAAAAQAgAAAAJQEAAGRycy9lMm9Eb2MueG1sUEsFBgAAAAAGAAYAWQEAAD0FAAAAAA==&#10;">
              <v:fill on="f" focussize="0,0"/>
              <v:stroke weight="1pt" color="#FFFFFF"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evenAndOddHeaders w:val="1"/>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NWQzZDQyYTI0ZGFlNWJhMTJjNmQ3MWNlODVjMGIifQ=="/>
  </w:docVars>
  <w:rsids>
    <w:rsidRoot w:val="009F502A"/>
    <w:rsid w:val="00067EB3"/>
    <w:rsid w:val="000C6E7B"/>
    <w:rsid w:val="00264B6D"/>
    <w:rsid w:val="00327056"/>
    <w:rsid w:val="004B6BD7"/>
    <w:rsid w:val="00575A38"/>
    <w:rsid w:val="008C5104"/>
    <w:rsid w:val="009F502A"/>
    <w:rsid w:val="00BB2EE9"/>
    <w:rsid w:val="00E53EA7"/>
    <w:rsid w:val="00ED5C26"/>
    <w:rsid w:val="00EE2296"/>
    <w:rsid w:val="00F468D8"/>
    <w:rsid w:val="00F553CE"/>
    <w:rsid w:val="025473FF"/>
    <w:rsid w:val="044C1E5B"/>
    <w:rsid w:val="10F017ED"/>
    <w:rsid w:val="1464048A"/>
    <w:rsid w:val="18C3660B"/>
    <w:rsid w:val="1A754BB1"/>
    <w:rsid w:val="1BA26FED"/>
    <w:rsid w:val="1BE539D2"/>
    <w:rsid w:val="1FC71F16"/>
    <w:rsid w:val="28C24AD9"/>
    <w:rsid w:val="2E0A34F6"/>
    <w:rsid w:val="329A54EB"/>
    <w:rsid w:val="3FE42FE8"/>
    <w:rsid w:val="42CF5F2A"/>
    <w:rsid w:val="464253F9"/>
    <w:rsid w:val="467B518B"/>
    <w:rsid w:val="47780845"/>
    <w:rsid w:val="4D861851"/>
    <w:rsid w:val="518562CB"/>
    <w:rsid w:val="566E3F32"/>
    <w:rsid w:val="577623A7"/>
    <w:rsid w:val="5D5E4DB7"/>
    <w:rsid w:val="5EB6320B"/>
    <w:rsid w:val="60032790"/>
    <w:rsid w:val="602A6BA2"/>
    <w:rsid w:val="65A86078"/>
    <w:rsid w:val="65B65064"/>
    <w:rsid w:val="6EE14935"/>
    <w:rsid w:val="780935DD"/>
    <w:rsid w:val="78DF7FEB"/>
    <w:rsid w:val="7B775E7E"/>
    <w:rsid w:val="F3FB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2"/>
    <w:qFormat/>
    <w:uiPriority w:val="0"/>
  </w:style>
  <w:style w:type="paragraph" w:styleId="3">
    <w:name w:val="Normal (Web)"/>
    <w:basedOn w:val="1"/>
    <w:qFormat/>
    <w:uiPriority w:val="0"/>
    <w:pPr>
      <w:spacing w:beforeAutospacing="1" w:afterAutospacing="1"/>
    </w:pPr>
    <w:rPr>
      <w:lang w:eastAsia="zh-CN" w:bidi="ar-SA"/>
    </w:rPr>
  </w:style>
  <w:style w:type="paragraph" w:styleId="4">
    <w:name w:val="annotation subject"/>
    <w:basedOn w:val="2"/>
    <w:next w:val="2"/>
    <w:link w:val="33"/>
    <w:qFormat/>
    <w:uiPriority w:val="0"/>
    <w:rPr>
      <w:b/>
      <w:bCs/>
    </w:rPr>
  </w:style>
  <w:style w:type="character" w:styleId="7">
    <w:name w:val="annotation reference"/>
    <w:basedOn w:val="6"/>
    <w:qFormat/>
    <w:uiPriority w:val="0"/>
    <w:rPr>
      <w:sz w:val="21"/>
      <w:szCs w:val="21"/>
    </w:rPr>
  </w:style>
  <w:style w:type="character" w:customStyle="1" w:styleId="8">
    <w:name w:val="Header or footer|2_"/>
    <w:basedOn w:val="6"/>
    <w:link w:val="9"/>
    <w:qFormat/>
    <w:uiPriority w:val="0"/>
    <w:rPr>
      <w:sz w:val="20"/>
      <w:szCs w:val="20"/>
      <w:u w:val="none"/>
      <w:shd w:val="clear" w:color="auto" w:fill="auto"/>
      <w:lang w:val="zh-TW" w:eastAsia="zh-TW" w:bidi="zh-TW"/>
    </w:rPr>
  </w:style>
  <w:style w:type="paragraph" w:customStyle="1" w:styleId="9">
    <w:name w:val="Header or footer|2"/>
    <w:basedOn w:val="1"/>
    <w:link w:val="8"/>
    <w:qFormat/>
    <w:uiPriority w:val="0"/>
    <w:rPr>
      <w:sz w:val="20"/>
      <w:szCs w:val="20"/>
      <w:lang w:val="zh-TW" w:eastAsia="zh-TW" w:bidi="zh-TW"/>
    </w:rPr>
  </w:style>
  <w:style w:type="character" w:customStyle="1" w:styleId="10">
    <w:name w:val="Body text|1_"/>
    <w:basedOn w:val="6"/>
    <w:link w:val="11"/>
    <w:qFormat/>
    <w:uiPriority w:val="0"/>
    <w:rPr>
      <w:rFonts w:ascii="宋体" w:hAnsi="宋体" w:eastAsia="宋体" w:cs="宋体"/>
      <w:sz w:val="26"/>
      <w:szCs w:val="26"/>
      <w:u w:val="none"/>
      <w:shd w:val="clear" w:color="auto" w:fill="auto"/>
      <w:lang w:val="zh-TW" w:eastAsia="zh-TW" w:bidi="zh-TW"/>
    </w:rPr>
  </w:style>
  <w:style w:type="paragraph" w:customStyle="1" w:styleId="11">
    <w:name w:val="Body text|1"/>
    <w:basedOn w:val="1"/>
    <w:link w:val="10"/>
    <w:qFormat/>
    <w:uiPriority w:val="0"/>
    <w:pPr>
      <w:spacing w:after="260" w:line="480" w:lineRule="auto"/>
      <w:ind w:firstLine="400"/>
    </w:pPr>
    <w:rPr>
      <w:rFonts w:ascii="宋体" w:hAnsi="宋体" w:eastAsia="宋体" w:cs="宋体"/>
      <w:sz w:val="26"/>
      <w:szCs w:val="26"/>
      <w:lang w:val="zh-TW" w:eastAsia="zh-TW" w:bidi="zh-TW"/>
    </w:rPr>
  </w:style>
  <w:style w:type="character" w:customStyle="1" w:styleId="12">
    <w:name w:val="Heading #1|1_"/>
    <w:basedOn w:val="6"/>
    <w:link w:val="13"/>
    <w:qFormat/>
    <w:uiPriority w:val="0"/>
    <w:rPr>
      <w:rFonts w:ascii="宋体" w:hAnsi="宋体" w:eastAsia="宋体" w:cs="宋体"/>
      <w:sz w:val="36"/>
      <w:szCs w:val="36"/>
      <w:u w:val="none"/>
      <w:shd w:val="clear" w:color="auto" w:fill="auto"/>
      <w:lang w:val="zh-TW" w:eastAsia="zh-TW" w:bidi="zh-TW"/>
    </w:rPr>
  </w:style>
  <w:style w:type="paragraph" w:customStyle="1" w:styleId="13">
    <w:name w:val="Heading #1|1"/>
    <w:basedOn w:val="1"/>
    <w:link w:val="12"/>
    <w:qFormat/>
    <w:uiPriority w:val="0"/>
    <w:pPr>
      <w:spacing w:after="600" w:line="1094" w:lineRule="exact"/>
      <w:jc w:val="center"/>
      <w:outlineLvl w:val="0"/>
    </w:pPr>
    <w:rPr>
      <w:rFonts w:ascii="宋体" w:hAnsi="宋体" w:eastAsia="宋体" w:cs="宋体"/>
      <w:sz w:val="36"/>
      <w:szCs w:val="36"/>
      <w:lang w:val="zh-TW" w:eastAsia="zh-TW" w:bidi="zh-TW"/>
    </w:rPr>
  </w:style>
  <w:style w:type="character" w:customStyle="1" w:styleId="14">
    <w:name w:val="Body text|3_"/>
    <w:basedOn w:val="6"/>
    <w:link w:val="15"/>
    <w:qFormat/>
    <w:uiPriority w:val="0"/>
    <w:rPr>
      <w:b/>
      <w:bCs/>
      <w:sz w:val="28"/>
      <w:szCs w:val="28"/>
      <w:u w:val="none"/>
      <w:shd w:val="clear" w:color="auto" w:fill="auto"/>
    </w:rPr>
  </w:style>
  <w:style w:type="paragraph" w:customStyle="1" w:styleId="15">
    <w:name w:val="Body text|3"/>
    <w:basedOn w:val="1"/>
    <w:link w:val="14"/>
    <w:qFormat/>
    <w:uiPriority w:val="0"/>
    <w:pPr>
      <w:spacing w:after="480"/>
      <w:jc w:val="center"/>
    </w:pPr>
    <w:rPr>
      <w:b/>
      <w:bCs/>
      <w:sz w:val="28"/>
      <w:szCs w:val="28"/>
    </w:rPr>
  </w:style>
  <w:style w:type="character" w:customStyle="1" w:styleId="16">
    <w:name w:val="Heading #2|1_"/>
    <w:basedOn w:val="6"/>
    <w:link w:val="17"/>
    <w:qFormat/>
    <w:uiPriority w:val="0"/>
    <w:rPr>
      <w:rFonts w:ascii="宋体" w:hAnsi="宋体" w:eastAsia="宋体" w:cs="宋体"/>
      <w:sz w:val="32"/>
      <w:szCs w:val="32"/>
      <w:u w:val="none"/>
      <w:shd w:val="clear" w:color="auto" w:fill="auto"/>
      <w:lang w:val="zh-TW" w:eastAsia="zh-TW" w:bidi="zh-TW"/>
    </w:rPr>
  </w:style>
  <w:style w:type="paragraph" w:customStyle="1" w:styleId="17">
    <w:name w:val="Heading #2|1"/>
    <w:basedOn w:val="1"/>
    <w:link w:val="16"/>
    <w:qFormat/>
    <w:uiPriority w:val="0"/>
    <w:pPr>
      <w:jc w:val="center"/>
      <w:outlineLvl w:val="1"/>
    </w:pPr>
    <w:rPr>
      <w:rFonts w:ascii="宋体" w:hAnsi="宋体" w:eastAsia="宋体" w:cs="宋体"/>
      <w:sz w:val="32"/>
      <w:szCs w:val="32"/>
      <w:lang w:val="zh-TW" w:eastAsia="zh-TW" w:bidi="zh-TW"/>
    </w:rPr>
  </w:style>
  <w:style w:type="character" w:customStyle="1" w:styleId="18">
    <w:name w:val="Header or footer|1_"/>
    <w:basedOn w:val="6"/>
    <w:link w:val="19"/>
    <w:qFormat/>
    <w:uiPriority w:val="0"/>
    <w:rPr>
      <w:rFonts w:ascii="宋体" w:hAnsi="宋体" w:eastAsia="宋体" w:cs="宋体"/>
      <w:sz w:val="18"/>
      <w:szCs w:val="18"/>
      <w:u w:val="none"/>
      <w:shd w:val="clear" w:color="auto" w:fill="auto"/>
      <w:lang w:val="zh-TW" w:eastAsia="zh-TW" w:bidi="zh-TW"/>
    </w:rPr>
  </w:style>
  <w:style w:type="paragraph" w:customStyle="1" w:styleId="19">
    <w:name w:val="Header or footer|1"/>
    <w:basedOn w:val="1"/>
    <w:link w:val="18"/>
    <w:qFormat/>
    <w:uiPriority w:val="0"/>
    <w:rPr>
      <w:rFonts w:ascii="宋体" w:hAnsi="宋体" w:eastAsia="宋体" w:cs="宋体"/>
      <w:sz w:val="18"/>
      <w:szCs w:val="18"/>
      <w:lang w:val="zh-TW" w:eastAsia="zh-TW" w:bidi="zh-TW"/>
    </w:rPr>
  </w:style>
  <w:style w:type="character" w:customStyle="1" w:styleId="20">
    <w:name w:val="Other|1_"/>
    <w:basedOn w:val="6"/>
    <w:link w:val="21"/>
    <w:qFormat/>
    <w:uiPriority w:val="0"/>
    <w:rPr>
      <w:rFonts w:ascii="宋体" w:hAnsi="宋体" w:eastAsia="宋体" w:cs="宋体"/>
      <w:sz w:val="26"/>
      <w:szCs w:val="26"/>
      <w:u w:val="none"/>
      <w:shd w:val="clear" w:color="auto" w:fill="auto"/>
      <w:lang w:val="zh-TW" w:eastAsia="zh-TW" w:bidi="zh-TW"/>
    </w:rPr>
  </w:style>
  <w:style w:type="paragraph" w:customStyle="1" w:styleId="21">
    <w:name w:val="Other|1"/>
    <w:basedOn w:val="1"/>
    <w:link w:val="20"/>
    <w:qFormat/>
    <w:uiPriority w:val="0"/>
    <w:pPr>
      <w:spacing w:after="260" w:line="480" w:lineRule="auto"/>
      <w:ind w:firstLine="400"/>
    </w:pPr>
    <w:rPr>
      <w:rFonts w:ascii="宋体" w:hAnsi="宋体" w:eastAsia="宋体" w:cs="宋体"/>
      <w:sz w:val="26"/>
      <w:szCs w:val="26"/>
      <w:lang w:val="zh-TW" w:eastAsia="zh-TW" w:bidi="zh-TW"/>
    </w:rPr>
  </w:style>
  <w:style w:type="character" w:customStyle="1" w:styleId="22">
    <w:name w:val="Table caption|1_"/>
    <w:basedOn w:val="6"/>
    <w:link w:val="23"/>
    <w:qFormat/>
    <w:uiPriority w:val="0"/>
    <w:rPr>
      <w:rFonts w:ascii="宋体" w:hAnsi="宋体" w:eastAsia="宋体" w:cs="宋体"/>
      <w:sz w:val="20"/>
      <w:szCs w:val="20"/>
      <w:u w:val="none"/>
      <w:shd w:val="clear" w:color="auto" w:fill="auto"/>
      <w:lang w:val="zh-TW" w:eastAsia="zh-TW" w:bidi="zh-TW"/>
    </w:rPr>
  </w:style>
  <w:style w:type="paragraph" w:customStyle="1" w:styleId="23">
    <w:name w:val="Table caption|1"/>
    <w:basedOn w:val="1"/>
    <w:link w:val="22"/>
    <w:qFormat/>
    <w:uiPriority w:val="0"/>
    <w:rPr>
      <w:rFonts w:ascii="宋体" w:hAnsi="宋体" w:eastAsia="宋体" w:cs="宋体"/>
      <w:sz w:val="20"/>
      <w:szCs w:val="20"/>
      <w:lang w:val="zh-TW" w:eastAsia="zh-TW" w:bidi="zh-TW"/>
    </w:rPr>
  </w:style>
  <w:style w:type="character" w:customStyle="1" w:styleId="24">
    <w:name w:val="Body text|2_"/>
    <w:basedOn w:val="6"/>
    <w:link w:val="25"/>
    <w:qFormat/>
    <w:uiPriority w:val="0"/>
    <w:rPr>
      <w:rFonts w:ascii="宋体" w:hAnsi="宋体" w:eastAsia="宋体" w:cs="宋体"/>
      <w:sz w:val="20"/>
      <w:szCs w:val="20"/>
      <w:u w:val="none"/>
      <w:shd w:val="clear" w:color="auto" w:fill="auto"/>
      <w:lang w:val="zh-TW" w:eastAsia="zh-TW" w:bidi="zh-TW"/>
    </w:rPr>
  </w:style>
  <w:style w:type="paragraph" w:customStyle="1" w:styleId="25">
    <w:name w:val="Body text|2"/>
    <w:basedOn w:val="1"/>
    <w:link w:val="24"/>
    <w:qFormat/>
    <w:uiPriority w:val="0"/>
    <w:pPr>
      <w:spacing w:after="240" w:line="634" w:lineRule="exact"/>
      <w:ind w:left="180" w:firstLine="500"/>
    </w:pPr>
    <w:rPr>
      <w:rFonts w:ascii="宋体" w:hAnsi="宋体" w:eastAsia="宋体" w:cs="宋体"/>
      <w:sz w:val="20"/>
      <w:szCs w:val="20"/>
      <w:lang w:val="zh-TW" w:eastAsia="zh-TW" w:bidi="zh-TW"/>
    </w:rPr>
  </w:style>
  <w:style w:type="character" w:customStyle="1" w:styleId="26">
    <w:name w:val="Heading #3|1_"/>
    <w:basedOn w:val="6"/>
    <w:link w:val="27"/>
    <w:qFormat/>
    <w:uiPriority w:val="0"/>
    <w:rPr>
      <w:rFonts w:ascii="宋体" w:hAnsi="宋体" w:eastAsia="宋体" w:cs="宋体"/>
      <w:sz w:val="32"/>
      <w:szCs w:val="32"/>
      <w:u w:val="none"/>
      <w:shd w:val="clear" w:color="auto" w:fill="auto"/>
      <w:lang w:val="zh-TW" w:eastAsia="zh-TW" w:bidi="zh-TW"/>
    </w:rPr>
  </w:style>
  <w:style w:type="paragraph" w:customStyle="1" w:styleId="27">
    <w:name w:val="Heading #3|1"/>
    <w:basedOn w:val="1"/>
    <w:link w:val="26"/>
    <w:qFormat/>
    <w:uiPriority w:val="0"/>
    <w:pPr>
      <w:ind w:left="3020"/>
      <w:outlineLvl w:val="2"/>
    </w:pPr>
    <w:rPr>
      <w:rFonts w:ascii="宋体" w:hAnsi="宋体" w:eastAsia="宋体" w:cs="宋体"/>
      <w:sz w:val="32"/>
      <w:szCs w:val="32"/>
      <w:lang w:val="zh-TW" w:eastAsia="zh-TW" w:bidi="zh-TW"/>
    </w:rPr>
  </w:style>
  <w:style w:type="character" w:customStyle="1" w:styleId="28">
    <w:name w:val="Table of contents|1_"/>
    <w:basedOn w:val="6"/>
    <w:link w:val="29"/>
    <w:qFormat/>
    <w:uiPriority w:val="0"/>
    <w:rPr>
      <w:rFonts w:ascii="宋体" w:hAnsi="宋体" w:eastAsia="宋体" w:cs="宋体"/>
      <w:sz w:val="20"/>
      <w:szCs w:val="20"/>
      <w:u w:val="none"/>
      <w:shd w:val="clear" w:color="auto" w:fill="auto"/>
      <w:lang w:val="zh-TW" w:eastAsia="zh-TW" w:bidi="zh-TW"/>
    </w:rPr>
  </w:style>
  <w:style w:type="paragraph" w:customStyle="1" w:styleId="29">
    <w:name w:val="Table of contents|1"/>
    <w:basedOn w:val="1"/>
    <w:link w:val="28"/>
    <w:qFormat/>
    <w:uiPriority w:val="0"/>
    <w:pPr>
      <w:spacing w:line="471" w:lineRule="exact"/>
      <w:ind w:firstLine="210"/>
    </w:pPr>
    <w:rPr>
      <w:rFonts w:ascii="宋体" w:hAnsi="宋体" w:eastAsia="宋体" w:cs="宋体"/>
      <w:sz w:val="20"/>
      <w:szCs w:val="20"/>
      <w:lang w:val="zh-TW" w:eastAsia="zh-TW" w:bidi="zh-TW"/>
    </w:rPr>
  </w:style>
  <w:style w:type="paragraph" w:customStyle="1" w:styleId="30">
    <w:name w:val="List Paragraph1"/>
    <w:basedOn w:val="1"/>
    <w:qFormat/>
    <w:uiPriority w:val="0"/>
    <w:pPr>
      <w:ind w:firstLine="420" w:firstLineChars="200"/>
    </w:pPr>
    <w:rPr>
      <w:rFonts w:ascii="Calibri" w:hAnsi="Calibri" w:eastAsia="宋体"/>
    </w:rPr>
  </w:style>
  <w:style w:type="paragraph" w:customStyle="1" w:styleId="31">
    <w:name w:val="修订1"/>
    <w:hidden/>
    <w:semiHidden/>
    <w:qFormat/>
    <w:uiPriority w:val="99"/>
    <w:rPr>
      <w:rFonts w:ascii="Times New Roman" w:hAnsi="Times New Roman" w:eastAsia="Times New Roman" w:cs="Times New Roman"/>
      <w:color w:val="000000"/>
      <w:sz w:val="24"/>
      <w:szCs w:val="24"/>
      <w:lang w:val="en-US" w:eastAsia="en-US" w:bidi="en-US"/>
    </w:rPr>
  </w:style>
  <w:style w:type="character" w:customStyle="1" w:styleId="32">
    <w:name w:val="Comment Text Char"/>
    <w:basedOn w:val="6"/>
    <w:link w:val="2"/>
    <w:qFormat/>
    <w:uiPriority w:val="0"/>
    <w:rPr>
      <w:rFonts w:eastAsia="Times New Roman"/>
      <w:color w:val="000000"/>
      <w:sz w:val="24"/>
      <w:szCs w:val="24"/>
      <w:lang w:eastAsia="en-US" w:bidi="en-US"/>
    </w:rPr>
  </w:style>
  <w:style w:type="character" w:customStyle="1" w:styleId="33">
    <w:name w:val="Comment Subject Char"/>
    <w:basedOn w:val="32"/>
    <w:link w:val="4"/>
    <w:qFormat/>
    <w:uiPriority w:val="0"/>
    <w:rPr>
      <w:rFonts w:eastAsia="Times New Roman"/>
      <w:b/>
      <w:bCs/>
      <w:color w:val="000000"/>
      <w:sz w:val="24"/>
      <w:szCs w:val="24"/>
      <w:lang w:eastAsia="en-US" w:bidi="en-US"/>
    </w:rPr>
  </w:style>
  <w:style w:type="paragraph" w:customStyle="1" w:styleId="34">
    <w:name w:val="Revision1"/>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35">
    <w:name w:val="Revision"/>
    <w:hidden/>
    <w:semiHidden/>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8664</Words>
  <Characters>9255</Characters>
  <Lines>69</Lines>
  <Paragraphs>19</Paragraphs>
  <TotalTime>431</TotalTime>
  <ScaleCrop>false</ScaleCrop>
  <LinksUpToDate>false</LinksUpToDate>
  <CharactersWithSpaces>9308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2022-05-12T11:34:00Z</dcterms:created>
  <dc:creator>A</dc:creator>
  <cp:lastModifiedBy>lamboo</cp:lastModifiedBy>
  <dcterms:modified xsi:type="dcterms:W3CDTF">2022-05-19T07:35:59Z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FA660DC239E8481688CB61C3DFFC0787</vt:lpwstr>
  </property>
</Properties>
</file>