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6"/>
          <w:szCs w:val="56"/>
        </w:rPr>
      </w:pPr>
      <w:r>
        <w:rPr>
          <w:rFonts w:hint="eastAsia"/>
          <w:b/>
          <w:sz w:val="56"/>
          <w:szCs w:val="56"/>
        </w:rPr>
        <w:t>厦门国贸物产有限公司</w:t>
      </w:r>
    </w:p>
    <w:p>
      <w:pPr>
        <w:jc w:val="center"/>
        <w:rPr>
          <w:sz w:val="56"/>
          <w:szCs w:val="56"/>
        </w:rPr>
      </w:pPr>
    </w:p>
    <w:p>
      <w:pPr>
        <w:jc w:val="center"/>
        <w:rPr>
          <w:b/>
          <w:sz w:val="72"/>
          <w:szCs w:val="72"/>
        </w:rPr>
      </w:pPr>
      <w:r>
        <w:rPr>
          <w:rFonts w:hint="eastAsia"/>
          <w:b/>
          <w:sz w:val="72"/>
          <w:szCs w:val="72"/>
        </w:rPr>
        <w:t>招标文件</w:t>
      </w:r>
    </w:p>
    <w:p>
      <w:pPr>
        <w:jc w:val="center"/>
        <w:rPr>
          <w:sz w:val="72"/>
          <w:szCs w:val="72"/>
        </w:rPr>
      </w:pPr>
    </w:p>
    <w:p>
      <w:pPr>
        <w:jc w:val="center"/>
        <w:rPr>
          <w:sz w:val="72"/>
          <w:szCs w:val="72"/>
        </w:rPr>
      </w:pPr>
    </w:p>
    <w:p>
      <w:pPr>
        <w:ind w:firstLine="960" w:firstLineChars="200"/>
        <w:rPr>
          <w:b/>
          <w:sz w:val="48"/>
          <w:szCs w:val="48"/>
          <w:u w:val="single"/>
        </w:rPr>
      </w:pPr>
      <w:r>
        <w:rPr>
          <w:rFonts w:hint="eastAsia"/>
          <w:b/>
          <w:sz w:val="48"/>
          <w:szCs w:val="48"/>
        </w:rPr>
        <w:t>项目：轮胎厂扩产项目模具采购</w:t>
      </w:r>
    </w:p>
    <w:p>
      <w:pPr>
        <w:ind w:firstLine="960" w:firstLineChars="200"/>
        <w:rPr>
          <w:b/>
          <w:sz w:val="48"/>
          <w:szCs w:val="48"/>
          <w:u w:val="single"/>
        </w:rPr>
      </w:pPr>
    </w:p>
    <w:p>
      <w:pPr>
        <w:ind w:firstLine="960" w:firstLineChars="200"/>
        <w:rPr>
          <w:b/>
          <w:sz w:val="48"/>
          <w:szCs w:val="48"/>
          <w:u w:val="single"/>
        </w:rPr>
      </w:pPr>
      <w:r>
        <w:rPr>
          <w:rFonts w:hint="eastAsia"/>
          <w:b/>
          <w:sz w:val="48"/>
          <w:szCs w:val="48"/>
        </w:rPr>
        <w:t>编号：SLEQ20211122</w:t>
      </w: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ind w:firstLine="960" w:firstLineChars="200"/>
        <w:rPr>
          <w:b/>
          <w:sz w:val="48"/>
          <w:szCs w:val="48"/>
        </w:rPr>
      </w:pPr>
    </w:p>
    <w:p>
      <w:pPr>
        <w:jc w:val="center"/>
        <w:rPr>
          <w:b/>
          <w:sz w:val="48"/>
          <w:szCs w:val="48"/>
        </w:rPr>
      </w:pPr>
    </w:p>
    <w:p>
      <w:pPr>
        <w:jc w:val="center"/>
        <w:rPr>
          <w:b/>
          <w:sz w:val="40"/>
          <w:szCs w:val="40"/>
        </w:rPr>
      </w:pPr>
      <w:r>
        <w:rPr>
          <w:rFonts w:hint="eastAsia"/>
          <w:b/>
          <w:sz w:val="40"/>
          <w:szCs w:val="40"/>
        </w:rPr>
        <w:t>厦门国贸物产有限公司</w:t>
      </w:r>
    </w:p>
    <w:p>
      <w:pPr>
        <w:jc w:val="center"/>
        <w:rPr>
          <w:b/>
          <w:sz w:val="40"/>
          <w:szCs w:val="40"/>
        </w:rPr>
      </w:pPr>
    </w:p>
    <w:p>
      <w:pPr>
        <w:jc w:val="center"/>
        <w:rPr>
          <w:b/>
          <w:sz w:val="40"/>
          <w:szCs w:val="40"/>
        </w:rPr>
      </w:pPr>
      <w:r>
        <w:rPr>
          <w:rFonts w:hint="eastAsia"/>
          <w:b/>
          <w:sz w:val="40"/>
          <w:szCs w:val="40"/>
        </w:rPr>
        <w:t xml:space="preserve"> 2021年11月</w:t>
      </w:r>
    </w:p>
    <w:p>
      <w:pPr>
        <w:jc w:val="center"/>
        <w:rPr>
          <w:b/>
          <w:sz w:val="40"/>
          <w:szCs w:val="40"/>
        </w:rPr>
      </w:pPr>
    </w:p>
    <w:p>
      <w:pPr>
        <w:jc w:val="center"/>
        <w:rPr>
          <w:b/>
          <w:sz w:val="40"/>
          <w:szCs w:val="40"/>
        </w:rPr>
      </w:pPr>
      <w:r>
        <w:rPr>
          <w:rFonts w:hint="eastAsia"/>
          <w:b/>
          <w:sz w:val="40"/>
          <w:szCs w:val="40"/>
        </w:rPr>
        <w:t xml:space="preserve">     轮胎厂扩产项目模具采购招标文件</w:t>
      </w:r>
    </w:p>
    <w:p>
      <w:pPr>
        <w:jc w:val="center"/>
        <w:rPr>
          <w:b/>
          <w:sz w:val="40"/>
          <w:szCs w:val="40"/>
        </w:rPr>
      </w:pPr>
    </w:p>
    <w:p>
      <w:pPr>
        <w:spacing w:line="360" w:lineRule="auto"/>
        <w:rPr>
          <w:rFonts w:ascii="黑体" w:eastAsia="黑体"/>
          <w:b/>
          <w:sz w:val="28"/>
          <w:szCs w:val="28"/>
        </w:rPr>
      </w:pPr>
      <w:r>
        <w:rPr>
          <w:rFonts w:ascii="Times New Roman" w:hAnsi="Times New Roman" w:eastAsia="黑体"/>
          <w:b/>
          <w:sz w:val="28"/>
          <w:szCs w:val="28"/>
        </w:rPr>
        <w:t>0</w:t>
      </w:r>
      <w:r>
        <w:rPr>
          <w:rFonts w:hint="eastAsia" w:ascii="黑体" w:eastAsia="黑体"/>
          <w:b/>
          <w:sz w:val="28"/>
          <w:szCs w:val="28"/>
        </w:rPr>
        <w:t xml:space="preserve"> </w:t>
      </w:r>
      <w:r>
        <w:rPr>
          <w:rFonts w:hint="eastAsia" w:ascii="仿宋_GB2312" w:eastAsia="仿宋_GB2312"/>
          <w:b/>
          <w:sz w:val="28"/>
          <w:szCs w:val="28"/>
        </w:rPr>
        <w:t>投标须知</w:t>
      </w:r>
    </w:p>
    <w:p>
      <w:pPr>
        <w:spacing w:line="360" w:lineRule="auto"/>
        <w:rPr>
          <w:rFonts w:eastAsia="仿宋_GB2312"/>
          <w:sz w:val="28"/>
          <w:szCs w:val="28"/>
          <w:u w:val="single"/>
        </w:rPr>
      </w:pPr>
      <w:r>
        <w:rPr>
          <w:rFonts w:ascii="Times New Roman" w:hAnsi="Times New Roman" w:eastAsia="仿宋_GB2312"/>
          <w:b/>
          <w:sz w:val="28"/>
          <w:szCs w:val="28"/>
        </w:rPr>
        <w:t xml:space="preserve">0.1 </w:t>
      </w:r>
      <w:r>
        <w:rPr>
          <w:rFonts w:hint="eastAsia" w:eastAsia="仿宋_GB2312"/>
          <w:sz w:val="28"/>
          <w:szCs w:val="28"/>
        </w:rPr>
        <w:t>投标人应认真阅读和充分理解招标文件中的所有内容，未按招标文件要求提供的投标文件和资料，可能导致投标文件被拒绝，其后果由投标人自己负责。</w:t>
      </w:r>
    </w:p>
    <w:p>
      <w:pPr>
        <w:spacing w:line="360" w:lineRule="auto"/>
        <w:rPr>
          <w:rFonts w:eastAsia="仿宋_GB2312"/>
          <w:sz w:val="28"/>
          <w:szCs w:val="28"/>
        </w:rPr>
      </w:pPr>
      <w:r>
        <w:rPr>
          <w:rFonts w:ascii="Times New Roman" w:hAnsi="Times New Roman" w:eastAsia="仿宋_GB2312"/>
          <w:b/>
          <w:sz w:val="28"/>
          <w:szCs w:val="28"/>
        </w:rPr>
        <w:t>0.2</w:t>
      </w:r>
      <w:r>
        <w:rPr>
          <w:rFonts w:ascii="Times New Roman" w:hAnsi="Times New Roman" w:eastAsia="仿宋_GB2312"/>
          <w:sz w:val="28"/>
          <w:szCs w:val="28"/>
        </w:rPr>
        <w:t xml:space="preserve"> </w:t>
      </w:r>
      <w:r>
        <w:rPr>
          <w:rFonts w:hint="eastAsia" w:eastAsia="仿宋_GB2312"/>
          <w:sz w:val="28"/>
          <w:szCs w:val="28"/>
        </w:rPr>
        <w:t>投标人被视为已了解本招标项目的全部内容，以及与履行合同有关的一切情况，本招标文件不再就此做任何解释。</w:t>
      </w:r>
    </w:p>
    <w:p>
      <w:pPr>
        <w:spacing w:line="360" w:lineRule="auto"/>
        <w:rPr>
          <w:rFonts w:eastAsia="仿宋_GB2312"/>
          <w:sz w:val="28"/>
          <w:szCs w:val="28"/>
        </w:rPr>
      </w:pPr>
      <w:r>
        <w:rPr>
          <w:rFonts w:ascii="Times New Roman" w:hAnsi="Times New Roman" w:eastAsia="仿宋_GB2312"/>
          <w:b/>
          <w:sz w:val="28"/>
          <w:szCs w:val="28"/>
        </w:rPr>
        <w:t>0.3</w:t>
      </w:r>
      <w:r>
        <w:rPr>
          <w:rFonts w:ascii="Times New Roman" w:hAnsi="Times New Roman" w:eastAsia="仿宋_GB2312"/>
          <w:sz w:val="28"/>
          <w:szCs w:val="28"/>
        </w:rPr>
        <w:t xml:space="preserve"> </w:t>
      </w:r>
      <w:r>
        <w:rPr>
          <w:rFonts w:hint="eastAsia" w:eastAsia="仿宋_GB2312"/>
          <w:sz w:val="28"/>
          <w:szCs w:val="28"/>
        </w:rPr>
        <w:t>投标人须自行承担所有参与投标的相关费用，无论结果如何，我司在任何情况下均无义务和责任承担这些费用。</w:t>
      </w:r>
    </w:p>
    <w:p>
      <w:pPr>
        <w:spacing w:line="360" w:lineRule="auto"/>
        <w:rPr>
          <w:rFonts w:eastAsia="仿宋_GB2312"/>
          <w:sz w:val="28"/>
          <w:szCs w:val="28"/>
        </w:rPr>
      </w:pPr>
      <w:r>
        <w:rPr>
          <w:rFonts w:ascii="Times New Roman" w:hAnsi="Times New Roman" w:eastAsia="仿宋_GB2312"/>
          <w:b/>
          <w:sz w:val="28"/>
          <w:szCs w:val="28"/>
        </w:rPr>
        <w:t>0.4</w:t>
      </w:r>
      <w:r>
        <w:rPr>
          <w:rFonts w:hint="eastAsia" w:eastAsia="仿宋_GB2312"/>
          <w:sz w:val="28"/>
          <w:szCs w:val="28"/>
        </w:rPr>
        <w:t xml:space="preserve"> 所有附录均是本文件不可分割的组成部分。</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1 </w:t>
      </w:r>
      <w:r>
        <w:rPr>
          <w:rFonts w:hint="eastAsia" w:eastAsia="仿宋_GB2312"/>
          <w:b/>
          <w:sz w:val="28"/>
          <w:szCs w:val="28"/>
        </w:rPr>
        <w:t>概述</w:t>
      </w:r>
    </w:p>
    <w:p>
      <w:pPr>
        <w:spacing w:line="360" w:lineRule="auto"/>
        <w:rPr>
          <w:rFonts w:eastAsia="仿宋_GB2312"/>
          <w:sz w:val="28"/>
          <w:szCs w:val="28"/>
        </w:rPr>
      </w:pPr>
      <w:r>
        <w:rPr>
          <w:rFonts w:ascii="Times New Roman" w:hAnsi="Times New Roman" w:eastAsia="仿宋_GB2312"/>
          <w:b/>
          <w:sz w:val="28"/>
          <w:szCs w:val="28"/>
        </w:rPr>
        <w:t>1.1</w:t>
      </w:r>
      <w:r>
        <w:rPr>
          <w:rFonts w:hint="eastAsia" w:ascii="Times New Roman" w:hAnsi="Times New Roman" w:eastAsia="仿宋_GB2312"/>
          <w:b/>
          <w:sz w:val="28"/>
          <w:szCs w:val="28"/>
        </w:rPr>
        <w:t xml:space="preserve"> </w:t>
      </w:r>
      <w:r>
        <w:rPr>
          <w:rFonts w:hint="eastAsia" w:ascii="宋体" w:hAnsi="宋体" w:eastAsia="仿宋_GB2312"/>
          <w:sz w:val="28"/>
          <w:szCs w:val="28"/>
        </w:rPr>
        <w:t>为保证公司轮胎厂扩产项目模具采购，现决定</w:t>
      </w:r>
      <w:r>
        <w:rPr>
          <w:rFonts w:hint="eastAsia" w:eastAsia="仿宋_GB2312"/>
          <w:sz w:val="28"/>
          <w:szCs w:val="28"/>
        </w:rPr>
        <w:t>以招标的方式采购该项目所需模具</w:t>
      </w:r>
      <w:r>
        <w:rPr>
          <w:rFonts w:hint="eastAsia" w:ascii="宋体" w:hAnsi="宋体"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1.2</w:t>
      </w:r>
      <w:r>
        <w:rPr>
          <w:rFonts w:hint="eastAsia" w:eastAsia="仿宋_GB2312"/>
          <w:sz w:val="28"/>
          <w:szCs w:val="28"/>
        </w:rPr>
        <w:t xml:space="preserve"> 本次招标的招标人为厦门国贸物产有限公司。</w:t>
      </w:r>
    </w:p>
    <w:p>
      <w:pPr>
        <w:spacing w:line="360" w:lineRule="auto"/>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 xml:space="preserve">2 </w:t>
      </w:r>
      <w:r>
        <w:rPr>
          <w:rFonts w:hint="eastAsia" w:eastAsia="仿宋_GB2312"/>
          <w:b/>
          <w:sz w:val="28"/>
          <w:szCs w:val="28"/>
        </w:rPr>
        <w:t>招标内容</w:t>
      </w:r>
    </w:p>
    <w:p>
      <w:pPr>
        <w:spacing w:line="360" w:lineRule="auto"/>
        <w:ind w:firstLine="560" w:firstLineChars="200"/>
        <w:rPr>
          <w:rFonts w:ascii="仿宋_GB2312" w:eastAsia="仿宋_GB2312" w:cs="宋体"/>
          <w:sz w:val="28"/>
          <w:szCs w:val="28"/>
        </w:rPr>
      </w:pPr>
      <w:r>
        <w:rPr>
          <w:rFonts w:hint="eastAsia" w:eastAsia="仿宋_GB2312"/>
          <w:sz w:val="28"/>
          <w:szCs w:val="28"/>
        </w:rPr>
        <w:t>本次招标的内容为型腔、花纹圈和模套等，共计86套。交货期为：2021年12月20日前。（详见附录</w:t>
      </w:r>
      <w:r>
        <w:rPr>
          <w:rFonts w:ascii="Times New Roman" w:hAnsi="Times New Roman" w:eastAsia="仿宋_GB2312"/>
          <w:sz w:val="28"/>
          <w:szCs w:val="28"/>
        </w:rPr>
        <w:t>A</w:t>
      </w:r>
      <w:r>
        <w:rPr>
          <w:rFonts w:hint="eastAsia" w:eastAsia="仿宋_GB2312"/>
          <w:sz w:val="28"/>
          <w:szCs w:val="28"/>
        </w:rPr>
        <w:t>）</w:t>
      </w:r>
    </w:p>
    <w:p>
      <w:pPr>
        <w:spacing w:line="360" w:lineRule="auto"/>
        <w:ind w:firstLine="560" w:firstLineChars="200"/>
        <w:rPr>
          <w:rFonts w:ascii="仿宋_GB2312" w:eastAsia="仿宋_GB2312" w:cs="宋体"/>
          <w:sz w:val="28"/>
          <w:szCs w:val="28"/>
        </w:rPr>
      </w:pPr>
    </w:p>
    <w:p>
      <w:pPr>
        <w:spacing w:line="360" w:lineRule="auto"/>
        <w:rPr>
          <w:rFonts w:eastAsia="仿宋_GB2312"/>
          <w:b/>
          <w:sz w:val="28"/>
          <w:szCs w:val="28"/>
        </w:rPr>
      </w:pPr>
      <w:r>
        <w:rPr>
          <w:rFonts w:ascii="Times New Roman" w:hAnsi="Times New Roman" w:eastAsia="仿宋_GB2312"/>
          <w:b/>
          <w:sz w:val="28"/>
          <w:szCs w:val="28"/>
        </w:rPr>
        <w:t>3</w:t>
      </w:r>
      <w:r>
        <w:rPr>
          <w:rFonts w:hint="eastAsia" w:eastAsia="仿宋_GB2312"/>
          <w:b/>
          <w:sz w:val="28"/>
          <w:szCs w:val="28"/>
        </w:rPr>
        <w:t xml:space="preserve"> 投标人应具备的条件</w:t>
      </w:r>
    </w:p>
    <w:p>
      <w:pPr>
        <w:spacing w:line="360" w:lineRule="auto"/>
        <w:rPr>
          <w:rFonts w:eastAsia="仿宋_GB2312"/>
          <w:sz w:val="28"/>
          <w:szCs w:val="28"/>
        </w:rPr>
      </w:pPr>
      <w:r>
        <w:rPr>
          <w:rFonts w:hint="eastAsia" w:eastAsia="仿宋_GB2312"/>
          <w:sz w:val="28"/>
          <w:szCs w:val="28"/>
        </w:rPr>
        <w:t xml:space="preserve">    具备下列条件的企业有资格参加本次投标：</w:t>
      </w:r>
    </w:p>
    <w:p>
      <w:pPr>
        <w:spacing w:line="360" w:lineRule="auto"/>
        <w:ind w:firstLine="560"/>
        <w:rPr>
          <w:rFonts w:eastAsia="仿宋_GB2312"/>
          <w:sz w:val="28"/>
          <w:szCs w:val="28"/>
        </w:rPr>
      </w:pPr>
      <w:r>
        <w:rPr>
          <w:rFonts w:hint="eastAsia" w:eastAsia="仿宋_GB2312"/>
          <w:sz w:val="28"/>
          <w:szCs w:val="28"/>
        </w:rPr>
        <w:t>a)具有独立法人资格；</w:t>
      </w:r>
    </w:p>
    <w:p>
      <w:pPr>
        <w:spacing w:line="360" w:lineRule="auto"/>
        <w:ind w:firstLine="560"/>
        <w:rPr>
          <w:rFonts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w:t>
      </w:r>
      <w:r>
        <w:rPr>
          <w:rFonts w:hint="eastAsia" w:eastAsia="仿宋_GB2312"/>
          <w:sz w:val="28"/>
          <w:szCs w:val="28"/>
        </w:rPr>
        <w:t>具备本项目项下模具供货能力。在提供模具时，以不危害、破坏环境为前提，必须遵守国家关于环保、环境等方面的法律、法规；</w:t>
      </w:r>
    </w:p>
    <w:p>
      <w:pPr>
        <w:spacing w:line="360" w:lineRule="auto"/>
        <w:ind w:firstLine="560"/>
        <w:rPr>
          <w:rFonts w:eastAsia="仿宋_GB2312"/>
          <w:sz w:val="28"/>
          <w:szCs w:val="28"/>
        </w:rPr>
      </w:pPr>
      <w:r>
        <w:rPr>
          <w:rFonts w:hint="eastAsia" w:ascii="Times New Roman" w:hAnsi="Times New Roman" w:eastAsia="仿宋_GB2312"/>
          <w:sz w:val="28"/>
          <w:szCs w:val="28"/>
        </w:rPr>
        <w:t>c</w:t>
      </w:r>
      <w:r>
        <w:rPr>
          <w:rFonts w:ascii="Times New Roman" w:hAnsi="Times New Roman" w:eastAsia="仿宋_GB2312"/>
          <w:sz w:val="28"/>
          <w:szCs w:val="28"/>
        </w:rPr>
        <w:t>)</w:t>
      </w:r>
      <w:r>
        <w:rPr>
          <w:rFonts w:hint="eastAsia" w:eastAsia="仿宋_GB2312"/>
          <w:sz w:val="28"/>
          <w:szCs w:val="28"/>
        </w:rPr>
        <w:t>具有良好的企业资信，近年无不良业绩；</w:t>
      </w:r>
    </w:p>
    <w:p>
      <w:pPr>
        <w:spacing w:line="360" w:lineRule="auto"/>
        <w:ind w:firstLine="560"/>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自愿遵守本招标文件的要求；</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e</w:t>
      </w:r>
      <w:r>
        <w:rPr>
          <w:rFonts w:ascii="Times New Roman" w:hAnsi="Times New Roman" w:eastAsia="仿宋_GB2312"/>
          <w:sz w:val="28"/>
          <w:szCs w:val="28"/>
        </w:rPr>
        <w:t>)</w:t>
      </w:r>
      <w:r>
        <w:rPr>
          <w:rFonts w:hint="eastAsia" w:eastAsia="仿宋_GB2312"/>
          <w:sz w:val="28"/>
          <w:szCs w:val="28"/>
        </w:rPr>
        <w:t xml:space="preserve"> 投标人应独立参与投标，不接受联合体投标。</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 xml:space="preserve"> </w:t>
      </w:r>
      <w:r>
        <w:rPr>
          <w:rFonts w:hint="eastAsia" w:eastAsia="仿宋_GB2312"/>
          <w:b/>
          <w:sz w:val="28"/>
          <w:szCs w:val="28"/>
        </w:rPr>
        <w:t>投标文件要求</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eastAsia="仿宋_GB2312"/>
          <w:b/>
          <w:sz w:val="28"/>
          <w:szCs w:val="28"/>
        </w:rPr>
        <w:t xml:space="preserve"> </w:t>
      </w:r>
      <w:r>
        <w:rPr>
          <w:rFonts w:hint="eastAsia" w:eastAsia="仿宋_GB2312"/>
          <w:sz w:val="28"/>
          <w:szCs w:val="28"/>
        </w:rPr>
        <w:t>投标文件应包括下列内容</w:t>
      </w:r>
      <w:r>
        <w:rPr>
          <w:rFonts w:hint="eastAsia" w:ascii="仿宋_GB2312" w:eastAsia="仿宋_GB2312"/>
          <w:sz w:val="28"/>
          <w:szCs w:val="28"/>
        </w:rPr>
        <w:t>(按顺序装订)</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a) </w:t>
      </w:r>
      <w:r>
        <w:rPr>
          <w:rFonts w:hint="eastAsia" w:eastAsia="仿宋_GB2312"/>
          <w:sz w:val="28"/>
          <w:szCs w:val="28"/>
        </w:rPr>
        <w:t>投标书（附录</w:t>
      </w:r>
      <w:r>
        <w:rPr>
          <w:rFonts w:ascii="Times New Roman" w:hAnsi="Times New Roman" w:eastAsia="仿宋_GB2312"/>
          <w:sz w:val="28"/>
          <w:szCs w:val="28"/>
        </w:rPr>
        <w:t>B</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法定代表人身份证复印件或授权委托书</w:t>
      </w:r>
      <w:r>
        <w:rPr>
          <w:rFonts w:hint="eastAsia" w:ascii="仿宋_GB2312" w:eastAsia="仿宋_GB2312"/>
          <w:sz w:val="28"/>
          <w:szCs w:val="28"/>
        </w:rPr>
        <w:t>(如有授权)</w:t>
      </w:r>
      <w:r>
        <w:rPr>
          <w:rFonts w:hint="eastAsia" w:eastAsia="仿宋_GB2312"/>
          <w:sz w:val="28"/>
          <w:szCs w:val="28"/>
        </w:rPr>
        <w:t>原件和被委托人（代理人）身份证复印件（附录</w:t>
      </w:r>
      <w:r>
        <w:rPr>
          <w:rFonts w:ascii="Times New Roman" w:hAnsi="Times New Roman" w:eastAsia="仿宋_GB2312"/>
          <w:sz w:val="28"/>
          <w:szCs w:val="28"/>
        </w:rPr>
        <w:t>C</w:t>
      </w:r>
      <w:r>
        <w:rPr>
          <w:rFonts w:hint="eastAsia" w:eastAsia="仿宋_GB2312"/>
          <w:sz w:val="28"/>
          <w:szCs w:val="28"/>
        </w:rPr>
        <w:t>）；</w:t>
      </w:r>
    </w:p>
    <w:p>
      <w:pPr>
        <w:spacing w:line="360" w:lineRule="auto"/>
        <w:ind w:firstLine="560" w:firstLineChars="200"/>
        <w:rPr>
          <w:rFonts w:eastAsia="仿宋_GB2312"/>
          <w:sz w:val="28"/>
          <w:szCs w:val="28"/>
        </w:rPr>
      </w:pPr>
      <w:r>
        <w:rPr>
          <w:rFonts w:ascii="Times New Roman" w:hAnsi="Times New Roman" w:eastAsia="仿宋_GB2312"/>
          <w:sz w:val="28"/>
          <w:szCs w:val="28"/>
        </w:rPr>
        <w:t xml:space="preserve">c) </w:t>
      </w:r>
      <w:r>
        <w:rPr>
          <w:rFonts w:hint="eastAsia" w:eastAsia="仿宋_GB2312"/>
          <w:sz w:val="28"/>
          <w:szCs w:val="28"/>
        </w:rPr>
        <w:t>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d</w:t>
      </w:r>
      <w:r>
        <w:rPr>
          <w:rFonts w:ascii="Times New Roman" w:hAnsi="Times New Roman" w:eastAsia="仿宋_GB2312"/>
          <w:sz w:val="28"/>
          <w:szCs w:val="28"/>
        </w:rPr>
        <w:t>)</w:t>
      </w:r>
      <w:r>
        <w:rPr>
          <w:rFonts w:hint="eastAsia" w:eastAsia="仿宋_GB2312"/>
          <w:sz w:val="28"/>
          <w:szCs w:val="28"/>
        </w:rPr>
        <w:t xml:space="preserve">  不参与围标串标承诺书（附录D）</w:t>
      </w:r>
    </w:p>
    <w:p>
      <w:pPr>
        <w:spacing w:line="360" w:lineRule="auto"/>
        <w:ind w:firstLine="560" w:firstLineChars="200"/>
        <w:rPr>
          <w:rFonts w:eastAsia="仿宋_GB2312"/>
          <w:sz w:val="28"/>
          <w:szCs w:val="28"/>
        </w:rPr>
      </w:pPr>
      <w:r>
        <w:rPr>
          <w:rFonts w:hint="eastAsia" w:eastAsia="仿宋_GB2312"/>
          <w:sz w:val="28"/>
          <w:szCs w:val="28"/>
        </w:rPr>
        <w:t>e) 反商业贿赂承诺书（附录E）</w:t>
      </w:r>
    </w:p>
    <w:p>
      <w:pPr>
        <w:spacing w:line="360" w:lineRule="auto"/>
        <w:rPr>
          <w:rFonts w:eastAsia="仿宋_GB2312"/>
          <w:sz w:val="28"/>
          <w:szCs w:val="28"/>
        </w:rPr>
      </w:pPr>
      <w:r>
        <w:rPr>
          <w:rFonts w:hint="eastAsia" w:eastAsia="仿宋_GB2312"/>
          <w:sz w:val="28"/>
          <w:szCs w:val="28"/>
        </w:rPr>
        <w:t>注：以上若为复印件均必须加盖公司公章（红印），否则视为无效。</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投标文件的装订和密封</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.2.1</w:t>
      </w:r>
      <w:r>
        <w:rPr>
          <w:rFonts w:hint="eastAsia" w:eastAsia="仿宋_GB2312"/>
          <w:sz w:val="28"/>
          <w:szCs w:val="28"/>
        </w:rPr>
        <w:t xml:space="preserve"> 投标文件须打印并装订，报送正本一册、副本一册(副本可复印)。每份投标文件须清楚地标明“正本”或“副本”字样，正本与副本必须一致；若正本与副本不一致，以正本为准。</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.2.2</w:t>
      </w:r>
      <w:r>
        <w:rPr>
          <w:rFonts w:hint="eastAsia" w:eastAsia="仿宋_GB2312"/>
          <w:sz w:val="28"/>
          <w:szCs w:val="28"/>
        </w:rPr>
        <w:t xml:space="preserve"> 投标文件必须密封在专门的密封袋中，密封袋骑缝处用封条密封，加盖公司公章，并在封袋正面写明招标人名称、项目名称及投标人名称。</w:t>
      </w:r>
    </w:p>
    <w:p>
      <w:pPr>
        <w:spacing w:line="360" w:lineRule="auto"/>
        <w:rPr>
          <w:rFonts w:eastAsia="仿宋_GB2312"/>
          <w:sz w:val="28"/>
          <w:szCs w:val="28"/>
        </w:rPr>
      </w:pP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eastAsia="仿宋_GB2312"/>
          <w:sz w:val="28"/>
          <w:szCs w:val="28"/>
        </w:rPr>
        <w:t xml:space="preserve"> 投标文件如有修改和行间插字，必须在修改处加盖投标人法定代表人或代理人的印鉴。</w:t>
      </w:r>
    </w:p>
    <w:p>
      <w:pPr>
        <w:spacing w:line="360" w:lineRule="auto"/>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 xml:space="preserve"> </w:t>
      </w:r>
      <w:r>
        <w:rPr>
          <w:rFonts w:hint="eastAsia" w:eastAsia="仿宋_GB2312"/>
          <w:b/>
          <w:sz w:val="28"/>
          <w:szCs w:val="28"/>
        </w:rPr>
        <w:t>投标报价</w:t>
      </w:r>
    </w:p>
    <w:p>
      <w:pPr>
        <w:spacing w:line="360" w:lineRule="auto"/>
        <w:rPr>
          <w:rFonts w:eastAsia="仿宋_GB2312"/>
          <w:sz w:val="28"/>
          <w:szCs w:val="28"/>
        </w:rPr>
      </w:pPr>
      <w:r>
        <w:rPr>
          <w:rFonts w:hint="eastAsia" w:ascii="Times New Roman" w:hAnsi="Times New Roman" w:eastAsia="仿宋_GB2312"/>
          <w:b/>
          <w:sz w:val="28"/>
          <w:szCs w:val="28"/>
        </w:rPr>
        <w:t>5</w:t>
      </w:r>
      <w:r>
        <w:rPr>
          <w:rFonts w:ascii="Times New Roman" w:hAnsi="Times New Roman" w:eastAsia="仿宋_GB2312"/>
          <w:b/>
          <w:sz w:val="28"/>
          <w:szCs w:val="28"/>
        </w:rPr>
        <w:t>.</w:t>
      </w:r>
      <w:r>
        <w:rPr>
          <w:rFonts w:hint="eastAsia" w:ascii="Times New Roman" w:hAnsi="Times New Roman" w:eastAsia="仿宋_GB2312"/>
          <w:b/>
          <w:sz w:val="28"/>
          <w:szCs w:val="28"/>
        </w:rPr>
        <w:t>1</w:t>
      </w:r>
      <w:r>
        <w:rPr>
          <w:rFonts w:ascii="Times New Roman" w:hAnsi="Times New Roman" w:eastAsia="仿宋_GB2312"/>
          <w:b/>
          <w:sz w:val="28"/>
          <w:szCs w:val="28"/>
        </w:rPr>
        <w:t xml:space="preserve"> </w:t>
      </w:r>
      <w:r>
        <w:rPr>
          <w:rFonts w:hint="eastAsia" w:eastAsia="仿宋_GB2312"/>
          <w:sz w:val="28"/>
          <w:szCs w:val="28"/>
        </w:rPr>
        <w:t>各投标单位根据附录A项目依次报价，价格将作为重要评审因素。</w:t>
      </w:r>
    </w:p>
    <w:p>
      <w:pPr>
        <w:spacing w:line="360" w:lineRule="auto"/>
        <w:rPr>
          <w:rFonts w:eastAsia="仿宋_GB2312"/>
          <w:b/>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6</w:t>
      </w:r>
      <w:r>
        <w:rPr>
          <w:rFonts w:hint="eastAsia" w:eastAsia="仿宋_GB2312"/>
          <w:b/>
          <w:sz w:val="28"/>
          <w:szCs w:val="28"/>
        </w:rPr>
        <w:t xml:space="preserve"> 标书费用</w:t>
      </w:r>
    </w:p>
    <w:p>
      <w:pPr>
        <w:spacing w:line="360" w:lineRule="auto"/>
        <w:ind w:firstLine="560" w:firstLineChars="200"/>
        <w:rPr>
          <w:rFonts w:eastAsia="仿宋_GB2312"/>
          <w:sz w:val="28"/>
          <w:szCs w:val="28"/>
        </w:rPr>
      </w:pPr>
      <w:r>
        <w:rPr>
          <w:rFonts w:hint="eastAsia" w:eastAsia="仿宋_GB2312"/>
          <w:sz w:val="28"/>
          <w:szCs w:val="28"/>
        </w:rPr>
        <w:t>招标文件售价人民币零元。</w:t>
      </w:r>
    </w:p>
    <w:p>
      <w:pPr>
        <w:spacing w:line="360" w:lineRule="auto"/>
        <w:ind w:firstLine="560" w:firstLineChars="200"/>
        <w:rPr>
          <w:rFonts w:eastAsia="仿宋_GB2312"/>
          <w:sz w:val="28"/>
          <w:szCs w:val="28"/>
        </w:rPr>
      </w:pPr>
    </w:p>
    <w:p>
      <w:pPr>
        <w:spacing w:line="360" w:lineRule="auto"/>
        <w:rPr>
          <w:rFonts w:eastAsia="仿宋_GB2312"/>
          <w:b/>
          <w:sz w:val="28"/>
          <w:szCs w:val="28"/>
        </w:rPr>
      </w:pPr>
      <w:r>
        <w:rPr>
          <w:rFonts w:hint="eastAsia" w:ascii="Times New Roman" w:hAnsi="Times New Roman" w:eastAsia="仿宋_GB2312"/>
          <w:b/>
          <w:sz w:val="28"/>
          <w:szCs w:val="28"/>
        </w:rPr>
        <w:t>7</w:t>
      </w:r>
      <w:r>
        <w:rPr>
          <w:rFonts w:hint="eastAsia" w:eastAsia="仿宋_GB2312"/>
          <w:b/>
          <w:sz w:val="28"/>
          <w:szCs w:val="28"/>
        </w:rPr>
        <w:t xml:space="preserve"> 投标保证金</w:t>
      </w:r>
    </w:p>
    <w:p>
      <w:pPr>
        <w:spacing w:line="360" w:lineRule="auto"/>
        <w:rPr>
          <w:rFonts w:ascii="仿宋" w:hAnsi="仿宋" w:eastAsia="仿宋" w:cs="仿宋"/>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.1</w:t>
      </w:r>
      <w:r>
        <w:rPr>
          <w:rFonts w:eastAsia="仿宋_GB2312"/>
          <w:b/>
          <w:sz w:val="28"/>
          <w:szCs w:val="28"/>
        </w:rPr>
        <w:t xml:space="preserve"> </w:t>
      </w:r>
      <w:r>
        <w:rPr>
          <w:rFonts w:hint="eastAsia" w:ascii="仿宋" w:hAnsi="仿宋" w:eastAsia="仿宋" w:cs="仿宋"/>
          <w:sz w:val="28"/>
          <w:szCs w:val="28"/>
        </w:rPr>
        <w:t>投标人在递交投标文件的同时，需交纳投标保证金人民币壹万元，并支付至招标人以下银行账户：</w:t>
      </w:r>
    </w:p>
    <w:p>
      <w:pPr>
        <w:spacing w:line="360" w:lineRule="auto"/>
        <w:rPr>
          <w:rFonts w:ascii="Times New Roman" w:hAnsi="Times New Roman" w:eastAsia="仿宋_GB2312"/>
          <w:b/>
          <w:sz w:val="28"/>
          <w:szCs w:val="28"/>
        </w:rPr>
      </w:pPr>
      <w:r>
        <w:rPr>
          <w:rFonts w:hint="eastAsia" w:ascii="Times New Roman" w:hAnsi="Times New Roman" w:eastAsia="仿宋_GB2312"/>
          <w:b/>
          <w:sz w:val="28"/>
          <w:szCs w:val="28"/>
        </w:rPr>
        <w:t>账户名称：厦门国贸物产有限公司</w:t>
      </w:r>
    </w:p>
    <w:p>
      <w:pPr>
        <w:spacing w:line="360" w:lineRule="auto"/>
        <w:rPr>
          <w:rFonts w:ascii="Times New Roman" w:hAnsi="Times New Roman" w:eastAsia="仿宋_GB2312"/>
          <w:b/>
          <w:sz w:val="28"/>
          <w:szCs w:val="28"/>
        </w:rPr>
      </w:pPr>
      <w:r>
        <w:rPr>
          <w:rFonts w:hint="eastAsia" w:ascii="Times New Roman" w:hAnsi="Times New Roman" w:eastAsia="仿宋_GB2312"/>
          <w:b/>
          <w:sz w:val="28"/>
          <w:szCs w:val="28"/>
        </w:rPr>
        <w:t>开户银行：中国建设银行厦门湖滨支行</w:t>
      </w:r>
    </w:p>
    <w:p>
      <w:pPr>
        <w:spacing w:line="360" w:lineRule="auto"/>
        <w:rPr>
          <w:rFonts w:ascii="Times New Roman" w:hAnsi="Times New Roman" w:eastAsia="仿宋_GB2312"/>
          <w:b/>
          <w:sz w:val="28"/>
          <w:szCs w:val="28"/>
        </w:rPr>
      </w:pPr>
      <w:r>
        <w:rPr>
          <w:rFonts w:hint="eastAsia" w:ascii="Times New Roman" w:hAnsi="Times New Roman" w:eastAsia="仿宋_GB2312"/>
          <w:b/>
          <w:sz w:val="28"/>
          <w:szCs w:val="28"/>
        </w:rPr>
        <w:t>银行卡号：35150198030100001878</w:t>
      </w:r>
    </w:p>
    <w:p>
      <w:pPr>
        <w:spacing w:line="360" w:lineRule="auto"/>
        <w:rPr>
          <w:rFonts w:ascii="Times New Roman" w:hAnsi="Times New Roman" w:eastAsia="仿宋_GB2312"/>
          <w:szCs w:val="21"/>
        </w:rPr>
      </w:pPr>
      <w:r>
        <w:rPr>
          <w:rFonts w:hint="eastAsia" w:ascii="Times New Roman" w:hAnsi="Times New Roman" w:eastAsia="仿宋_GB2312"/>
          <w:b/>
          <w:sz w:val="28"/>
          <w:szCs w:val="28"/>
        </w:rPr>
        <w:t>7</w:t>
      </w:r>
      <w:r>
        <w:rPr>
          <w:rFonts w:ascii="Times New Roman" w:hAnsi="Times New Roman" w:eastAsia="仿宋_GB2312"/>
          <w:b/>
          <w:sz w:val="28"/>
          <w:szCs w:val="28"/>
        </w:rPr>
        <w:t>.2</w:t>
      </w:r>
      <w:r>
        <w:rPr>
          <w:rFonts w:eastAsia="仿宋_GB2312"/>
          <w:sz w:val="28"/>
          <w:szCs w:val="28"/>
        </w:rPr>
        <w:t xml:space="preserve"> </w:t>
      </w:r>
      <w:r>
        <w:rPr>
          <w:rFonts w:hint="eastAsia" w:ascii="仿宋" w:hAnsi="仿宋" w:eastAsia="仿宋" w:cs="仿宋"/>
          <w:sz w:val="28"/>
          <w:szCs w:val="28"/>
        </w:rPr>
        <w:t>未中标投标人的投标保证金，在开标结束后五个工作日内予以退还，不计利息。</w:t>
      </w:r>
    </w:p>
    <w:p>
      <w:pPr>
        <w:spacing w:line="360" w:lineRule="auto"/>
        <w:rPr>
          <w:rFonts w:eastAsia="仿宋_GB2312"/>
          <w:sz w:val="28"/>
          <w:szCs w:val="28"/>
        </w:rPr>
      </w:pPr>
      <w:r>
        <w:rPr>
          <w:rFonts w:hint="eastAsia" w:ascii="Times New Roman" w:hAnsi="Times New Roman" w:eastAsia="仿宋_GB2312"/>
          <w:b/>
          <w:sz w:val="28"/>
          <w:szCs w:val="28"/>
        </w:rPr>
        <w:t>7</w:t>
      </w:r>
      <w:r>
        <w:rPr>
          <w:rFonts w:ascii="Times New Roman" w:hAnsi="Times New Roman" w:eastAsia="仿宋_GB2312"/>
          <w:b/>
          <w:sz w:val="28"/>
          <w:szCs w:val="28"/>
        </w:rPr>
        <w:t>.3</w:t>
      </w:r>
      <w:r>
        <w:rPr>
          <w:rFonts w:hint="eastAsia" w:eastAsia="仿宋_GB2312"/>
          <w:b/>
          <w:sz w:val="28"/>
          <w:szCs w:val="28"/>
        </w:rPr>
        <w:t xml:space="preserve"> </w:t>
      </w:r>
      <w:r>
        <w:rPr>
          <w:rFonts w:hint="eastAsia" w:eastAsia="仿宋_GB2312"/>
          <w:sz w:val="28"/>
          <w:szCs w:val="28"/>
        </w:rPr>
        <w:t xml:space="preserve"> 投标人出现下列情况，投标保证金或履约保证金不予退还。</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取消中标资格；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中标后非因不可抗力拒绝签订合同；</w:t>
      </w:r>
    </w:p>
    <w:p>
      <w:pPr>
        <w:spacing w:line="360" w:lineRule="auto"/>
        <w:ind w:firstLine="560" w:firstLineChars="200"/>
        <w:rPr>
          <w:rFonts w:eastAsia="仿宋_GB2312"/>
          <w:sz w:val="28"/>
          <w:szCs w:val="28"/>
        </w:rPr>
      </w:pPr>
      <w:r>
        <w:rPr>
          <w:rFonts w:ascii="Times New Roman" w:hAnsi="Times New Roman" w:eastAsia="仿宋_GB2312"/>
          <w:sz w:val="28"/>
          <w:szCs w:val="28"/>
        </w:rPr>
        <w:t>c)</w:t>
      </w:r>
      <w:r>
        <w:rPr>
          <w:rFonts w:hint="eastAsia" w:eastAsia="仿宋_GB2312"/>
          <w:sz w:val="28"/>
          <w:szCs w:val="28"/>
        </w:rPr>
        <w:t xml:space="preserve"> 经查实，投标人不符合招标要求或未按合同约定履行的。</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 xml:space="preserve"> </w:t>
      </w:r>
      <w:r>
        <w:rPr>
          <w:rFonts w:hint="eastAsia" w:eastAsia="仿宋_GB2312"/>
          <w:b/>
          <w:sz w:val="28"/>
          <w:szCs w:val="28"/>
        </w:rPr>
        <w:t>招标文件答疑</w:t>
      </w:r>
    </w:p>
    <w:p>
      <w:pPr>
        <w:spacing w:line="360" w:lineRule="auto"/>
        <w:rPr>
          <w:rFonts w:eastAsia="仿宋_GB2312"/>
          <w:sz w:val="28"/>
          <w:szCs w:val="28"/>
        </w:rPr>
      </w:pPr>
      <w:r>
        <w:rPr>
          <w:rFonts w:hint="eastAsia" w:ascii="Times New Roman" w:hAnsi="Times New Roman" w:eastAsia="仿宋_GB2312"/>
          <w:b/>
          <w:sz w:val="28"/>
          <w:szCs w:val="28"/>
        </w:rPr>
        <w:t>8</w:t>
      </w:r>
      <w:r>
        <w:rPr>
          <w:rFonts w:ascii="Times New Roman" w:hAnsi="Times New Roman" w:eastAsia="仿宋_GB2312"/>
          <w:b/>
          <w:sz w:val="28"/>
          <w:szCs w:val="28"/>
        </w:rPr>
        <w:t>.1</w:t>
      </w:r>
      <w:r>
        <w:rPr>
          <w:rFonts w:hint="eastAsia" w:eastAsia="仿宋_GB2312"/>
          <w:sz w:val="28"/>
          <w:szCs w:val="28"/>
        </w:rPr>
        <w:t xml:space="preserve"> 投标人如对招标文件的条款有疑问，应在答疑截止时间2021年11月26日10:00之前以书面或电子邮件形式提交招标人。</w:t>
      </w:r>
    </w:p>
    <w:p>
      <w:pPr>
        <w:spacing w:line="360" w:lineRule="auto"/>
        <w:rPr>
          <w:rFonts w:eastAsia="仿宋_GB2312"/>
          <w:sz w:val="28"/>
          <w:szCs w:val="28"/>
        </w:rPr>
      </w:pPr>
      <w:r>
        <w:rPr>
          <w:rFonts w:hint="eastAsia" w:ascii="Times New Roman" w:hAnsi="Times New Roman" w:eastAsia="仿宋_GB2312"/>
          <w:b/>
          <w:sz w:val="28"/>
          <w:szCs w:val="28"/>
        </w:rPr>
        <w:t>8.2</w:t>
      </w:r>
      <w:r>
        <w:rPr>
          <w:rFonts w:hint="eastAsia" w:eastAsia="仿宋_GB2312"/>
          <w:sz w:val="28"/>
          <w:szCs w:val="28"/>
        </w:rPr>
        <w:t xml:space="preserve"> 答疑联系人：</w:t>
      </w:r>
    </w:p>
    <w:p>
      <w:pPr>
        <w:spacing w:line="360" w:lineRule="auto"/>
        <w:ind w:firstLine="560" w:firstLineChars="200"/>
        <w:rPr>
          <w:rFonts w:eastAsia="仿宋_GB2312"/>
          <w:sz w:val="28"/>
          <w:szCs w:val="28"/>
        </w:rPr>
      </w:pPr>
      <w:r>
        <w:rPr>
          <w:rFonts w:hint="eastAsia" w:eastAsia="仿宋_GB2312"/>
          <w:sz w:val="28"/>
          <w:szCs w:val="28"/>
        </w:rPr>
        <w:t>联系人：许志裕、董玉斌</w:t>
      </w:r>
    </w:p>
    <w:p>
      <w:pPr>
        <w:spacing w:line="360" w:lineRule="auto"/>
        <w:ind w:firstLine="560" w:firstLineChars="200"/>
        <w:rPr>
          <w:rFonts w:eastAsia="仿宋_GB2312"/>
          <w:sz w:val="28"/>
          <w:szCs w:val="28"/>
        </w:rPr>
      </w:pPr>
      <w:r>
        <w:rPr>
          <w:rFonts w:hint="eastAsia" w:eastAsia="仿宋_GB2312"/>
          <w:sz w:val="28"/>
          <w:szCs w:val="28"/>
        </w:rPr>
        <w:t>地址：厦门市湖里区仙岳路4688号国贸中心A座21层</w:t>
      </w:r>
    </w:p>
    <w:p>
      <w:pPr>
        <w:spacing w:line="360" w:lineRule="auto"/>
        <w:ind w:firstLine="560" w:firstLineChars="200"/>
        <w:rPr>
          <w:rFonts w:eastAsia="仿宋_GB2312"/>
          <w:sz w:val="28"/>
          <w:szCs w:val="28"/>
        </w:rPr>
      </w:pPr>
      <w:r>
        <w:rPr>
          <w:rFonts w:hint="eastAsia" w:eastAsia="仿宋_GB2312"/>
          <w:sz w:val="28"/>
          <w:szCs w:val="28"/>
        </w:rPr>
        <w:t>电话：18050058874、15959215605</w:t>
      </w:r>
    </w:p>
    <w:p>
      <w:pPr>
        <w:spacing w:line="360" w:lineRule="auto"/>
        <w:ind w:firstLine="560" w:firstLineChars="200"/>
        <w:rPr>
          <w:rFonts w:eastAsia="仿宋_GB2312"/>
          <w:sz w:val="28"/>
          <w:szCs w:val="28"/>
        </w:rPr>
      </w:pPr>
      <w:r>
        <w:rPr>
          <w:rFonts w:hint="eastAsia" w:eastAsia="仿宋_GB2312"/>
          <w:sz w:val="28"/>
          <w:szCs w:val="28"/>
        </w:rPr>
        <w:t>邮箱：</w:t>
      </w:r>
      <w:r>
        <w:fldChar w:fldCharType="begin"/>
      </w:r>
      <w:r>
        <w:instrText xml:space="preserve"> HYPERLINK "mailto:allen_lian@itg.com.cn;%20dongyubin@itg.com.cn" </w:instrText>
      </w:r>
      <w:r>
        <w:fldChar w:fldCharType="separate"/>
      </w:r>
      <w:r>
        <w:rPr>
          <w:rFonts w:hint="eastAsia" w:eastAsia="仿宋_GB2312"/>
          <w:sz w:val="28"/>
          <w:szCs w:val="28"/>
        </w:rPr>
        <w:t>xuzhiyu@itg.com.cn; dongyubin@itg.com.cn</w:t>
      </w:r>
      <w:r>
        <w:rPr>
          <w:rFonts w:hint="eastAsia" w:eastAsia="仿宋_GB2312"/>
          <w:sz w:val="28"/>
          <w:szCs w:val="28"/>
        </w:rPr>
        <w:fldChar w:fldCharType="end"/>
      </w:r>
      <w:r>
        <w:rPr>
          <w:rFonts w:hint="eastAsia" w:eastAsia="仿宋_GB2312"/>
          <w:sz w:val="28"/>
          <w:szCs w:val="28"/>
        </w:rPr>
        <w:t xml:space="preserve">  </w:t>
      </w:r>
    </w:p>
    <w:p>
      <w:pPr>
        <w:spacing w:line="360" w:lineRule="auto"/>
        <w:rPr>
          <w:sz w:val="28"/>
          <w:szCs w:val="28"/>
        </w:rPr>
      </w:pPr>
      <w:r>
        <w:rPr>
          <w:rFonts w:hint="eastAsia"/>
          <w:sz w:val="28"/>
          <w:szCs w:val="28"/>
        </w:rPr>
        <w:t xml:space="preserve">  </w:t>
      </w:r>
      <w:r>
        <w:rPr>
          <w:rFonts w:hint="eastAsia" w:eastAsia="仿宋_GB2312"/>
          <w:sz w:val="28"/>
          <w:szCs w:val="28"/>
        </w:rPr>
        <w:t xml:space="preserve">  </w:t>
      </w:r>
    </w:p>
    <w:p>
      <w:pPr>
        <w:spacing w:line="360" w:lineRule="auto"/>
        <w:rPr>
          <w:rFonts w:eastAsia="仿宋_GB2312"/>
          <w:b/>
          <w:sz w:val="28"/>
          <w:szCs w:val="28"/>
        </w:rPr>
      </w:pPr>
      <w:r>
        <w:rPr>
          <w:rFonts w:hint="eastAsia" w:ascii="Times New Roman" w:hAnsi="Times New Roman" w:eastAsia="仿宋_GB2312"/>
          <w:b/>
          <w:sz w:val="28"/>
          <w:szCs w:val="28"/>
        </w:rPr>
        <w:t>9</w:t>
      </w:r>
      <w:r>
        <w:rPr>
          <w:rFonts w:hint="eastAsia" w:eastAsia="仿宋_GB2312"/>
          <w:b/>
          <w:sz w:val="28"/>
          <w:szCs w:val="28"/>
        </w:rPr>
        <w:t xml:space="preserve"> 投标文件递交时间及送达地点</w:t>
      </w:r>
    </w:p>
    <w:p>
      <w:pPr>
        <w:spacing w:line="360" w:lineRule="auto"/>
        <w:rPr>
          <w:rFonts w:eastAsia="仿宋_GB2312"/>
          <w:sz w:val="28"/>
          <w:szCs w:val="28"/>
        </w:rPr>
      </w:pPr>
      <w:r>
        <w:rPr>
          <w:rFonts w:hint="eastAsia" w:ascii="Times New Roman" w:hAnsi="Times New Roman" w:eastAsia="仿宋_GB2312"/>
          <w:b/>
          <w:sz w:val="28"/>
          <w:szCs w:val="28"/>
        </w:rPr>
        <w:t>9</w:t>
      </w:r>
      <w:r>
        <w:rPr>
          <w:rFonts w:ascii="Times New Roman" w:hAnsi="Times New Roman" w:eastAsia="仿宋_GB2312"/>
          <w:b/>
          <w:sz w:val="28"/>
          <w:szCs w:val="28"/>
        </w:rPr>
        <w:t>.1</w:t>
      </w:r>
      <w:r>
        <w:rPr>
          <w:rFonts w:hint="eastAsia" w:eastAsia="仿宋_GB2312"/>
          <w:sz w:val="28"/>
          <w:szCs w:val="28"/>
        </w:rPr>
        <w:t xml:space="preserve"> 时间：</w:t>
      </w:r>
      <w:r>
        <w:rPr>
          <w:rFonts w:hint="eastAsia" w:eastAsia="仿宋_GB2312"/>
          <w:sz w:val="28"/>
          <w:szCs w:val="28"/>
          <w:u w:val="single"/>
        </w:rPr>
        <w:t>2021年11月29日下午14:00前</w:t>
      </w:r>
    </w:p>
    <w:p>
      <w:pPr>
        <w:spacing w:line="360" w:lineRule="auto"/>
        <w:rPr>
          <w:rFonts w:eastAsia="仿宋_GB2312"/>
          <w:sz w:val="28"/>
          <w:szCs w:val="28"/>
          <w:u w:val="single"/>
        </w:rPr>
      </w:pPr>
      <w:r>
        <w:rPr>
          <w:rFonts w:hint="eastAsia" w:ascii="Times New Roman" w:hAnsi="Times New Roman" w:eastAsia="仿宋_GB2312"/>
          <w:b/>
          <w:sz w:val="28"/>
          <w:szCs w:val="28"/>
        </w:rPr>
        <w:t>9</w:t>
      </w:r>
      <w:r>
        <w:rPr>
          <w:rFonts w:ascii="Times New Roman" w:hAnsi="Times New Roman" w:eastAsia="仿宋_GB2312"/>
          <w:b/>
          <w:sz w:val="28"/>
          <w:szCs w:val="28"/>
        </w:rPr>
        <w:t>.2</w:t>
      </w:r>
      <w:r>
        <w:rPr>
          <w:rFonts w:hint="eastAsia" w:eastAsia="仿宋_GB2312"/>
          <w:sz w:val="28"/>
          <w:szCs w:val="28"/>
        </w:rPr>
        <w:t xml:space="preserve"> 递交地点：</w:t>
      </w:r>
      <w:r>
        <w:rPr>
          <w:rFonts w:hint="eastAsia" w:eastAsia="仿宋_GB2312"/>
          <w:sz w:val="28"/>
          <w:szCs w:val="28"/>
          <w:u w:val="single"/>
        </w:rPr>
        <w:t>山东省德州市乐陵市开元西大道北侧</w:t>
      </w:r>
      <w:r>
        <w:rPr>
          <w:rFonts w:eastAsia="仿宋_GB2312"/>
          <w:sz w:val="28"/>
          <w:szCs w:val="28"/>
          <w:u w:val="single"/>
        </w:rPr>
        <w:t>399号</w:t>
      </w:r>
      <w:r>
        <w:rPr>
          <w:rFonts w:hint="eastAsia" w:eastAsia="仿宋_GB2312"/>
          <w:sz w:val="28"/>
          <w:szCs w:val="28"/>
          <w:u w:val="single"/>
        </w:rPr>
        <w:t>，启润轮胎（德州）有限公司，办公楼3楼会议室，联系人：苏从13969259690</w:t>
      </w:r>
      <w:r>
        <w:rPr>
          <w:rFonts w:hint="eastAsia" w:eastAsia="仿宋_GB2312"/>
          <w:sz w:val="28"/>
          <w:szCs w:val="28"/>
        </w:rPr>
        <w:t>。</w:t>
      </w:r>
    </w:p>
    <w:p>
      <w:pPr>
        <w:spacing w:line="360" w:lineRule="auto"/>
        <w:rPr>
          <w:rFonts w:eastAsia="仿宋_GB2312"/>
          <w:sz w:val="28"/>
          <w:szCs w:val="28"/>
        </w:rPr>
      </w:pPr>
      <w:r>
        <w:rPr>
          <w:rFonts w:hint="eastAsia" w:ascii="Times New Roman" w:hAnsi="Times New Roman" w:eastAsia="仿宋_GB2312"/>
          <w:b/>
          <w:sz w:val="28"/>
          <w:szCs w:val="28"/>
        </w:rPr>
        <w:t>9.3</w:t>
      </w:r>
      <w:r>
        <w:rPr>
          <w:rFonts w:ascii="Times New Roman" w:hAnsi="Times New Roman" w:eastAsia="仿宋_GB2312"/>
          <w:b/>
          <w:sz w:val="28"/>
          <w:szCs w:val="28"/>
        </w:rPr>
        <w:t xml:space="preserve"> </w:t>
      </w:r>
      <w:r>
        <w:rPr>
          <w:rFonts w:hint="eastAsia" w:eastAsia="仿宋_GB2312"/>
          <w:sz w:val="28"/>
          <w:szCs w:val="28"/>
        </w:rPr>
        <w:t>递交方式：投标人可选择现场递交或邮寄递交。</w:t>
      </w:r>
    </w:p>
    <w:p>
      <w:pPr>
        <w:spacing w:line="360" w:lineRule="auto"/>
        <w:rPr>
          <w:rFonts w:ascii="Times New Roman" w:hAnsi="Times New Roman" w:eastAsia="仿宋_GB2312"/>
          <w:b/>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hint="eastAsia" w:eastAsia="仿宋_GB2312"/>
          <w:b/>
          <w:sz w:val="28"/>
          <w:szCs w:val="28"/>
        </w:rPr>
        <w:t xml:space="preserve"> 投标人资格审查</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.1</w:t>
      </w:r>
      <w:r>
        <w:rPr>
          <w:rFonts w:ascii="Times New Roman" w:hAnsi="Times New Roman" w:eastAsia="仿宋_GB2312"/>
          <w:sz w:val="28"/>
          <w:szCs w:val="28"/>
        </w:rPr>
        <w:t xml:space="preserve"> </w:t>
      </w:r>
      <w:r>
        <w:rPr>
          <w:rFonts w:hint="eastAsia" w:eastAsia="仿宋_GB2312"/>
          <w:sz w:val="28"/>
          <w:szCs w:val="28"/>
        </w:rPr>
        <w:t>投标人资格审查时间</w:t>
      </w:r>
      <w:r>
        <w:rPr>
          <w:rFonts w:hint="eastAsia" w:eastAsia="仿宋_GB2312"/>
          <w:sz w:val="28"/>
          <w:szCs w:val="28"/>
          <w:u w:val="single"/>
        </w:rPr>
        <w:t xml:space="preserve"> 2021年11月29日下午14:10-14:40 </w:t>
      </w:r>
      <w:r>
        <w:rPr>
          <w:rFonts w:hint="eastAsia" w:eastAsia="仿宋_GB2312"/>
          <w:sz w:val="28"/>
          <w:szCs w:val="28"/>
        </w:rPr>
        <w:t>。</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0</w:t>
      </w:r>
      <w:r>
        <w:rPr>
          <w:rFonts w:ascii="Times New Roman" w:hAnsi="Times New Roman" w:eastAsia="仿宋_GB2312"/>
          <w:b/>
          <w:sz w:val="28"/>
          <w:szCs w:val="28"/>
        </w:rPr>
        <w:t>.2</w:t>
      </w:r>
      <w:r>
        <w:rPr>
          <w:rFonts w:hint="eastAsia" w:eastAsia="仿宋_GB2312"/>
          <w:sz w:val="28"/>
          <w:szCs w:val="28"/>
        </w:rPr>
        <w:t xml:space="preserve"> 投标人须提供以下资料：</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企业营业执照、组织机构代码证、税务登记证复印件，或三证合一的证照复印件；</w:t>
      </w:r>
    </w:p>
    <w:p>
      <w:pPr>
        <w:spacing w:line="360" w:lineRule="auto"/>
        <w:ind w:firstLine="560" w:firstLineChars="200"/>
        <w:rPr>
          <w:rFonts w:eastAsia="仿宋_GB2312"/>
          <w:sz w:val="28"/>
          <w:szCs w:val="28"/>
        </w:rPr>
      </w:pPr>
      <w:r>
        <w:rPr>
          <w:rFonts w:hint="eastAsia" w:ascii="Times New Roman" w:hAnsi="Times New Roman" w:eastAsia="仿宋_GB2312"/>
          <w:sz w:val="28"/>
          <w:szCs w:val="28"/>
        </w:rPr>
        <w:t>b</w:t>
      </w:r>
      <w:r>
        <w:rPr>
          <w:rFonts w:ascii="Times New Roman" w:hAnsi="Times New Roman" w:eastAsia="仿宋_GB2312"/>
          <w:sz w:val="28"/>
          <w:szCs w:val="28"/>
        </w:rPr>
        <w:t>)</w:t>
      </w:r>
      <w:r>
        <w:rPr>
          <w:rFonts w:hint="eastAsia" w:eastAsia="仿宋_GB2312"/>
          <w:sz w:val="28"/>
          <w:szCs w:val="28"/>
        </w:rPr>
        <w:t xml:space="preserve"> 选择现场递交的投标人，还应携带授权委托书</w:t>
      </w:r>
      <w:r>
        <w:rPr>
          <w:rFonts w:eastAsia="仿宋_GB2312"/>
          <w:sz w:val="28"/>
          <w:szCs w:val="28"/>
        </w:rPr>
        <w:t>(</w:t>
      </w:r>
      <w:r>
        <w:rPr>
          <w:rFonts w:hint="eastAsia" w:eastAsia="仿宋_GB2312"/>
          <w:sz w:val="28"/>
          <w:szCs w:val="28"/>
        </w:rPr>
        <w:t>如有授权</w:t>
      </w:r>
      <w:r>
        <w:rPr>
          <w:rFonts w:eastAsia="仿宋_GB2312"/>
          <w:sz w:val="28"/>
          <w:szCs w:val="28"/>
        </w:rPr>
        <w:t>)</w:t>
      </w:r>
      <w:r>
        <w:rPr>
          <w:rFonts w:hint="eastAsia" w:eastAsia="仿宋_GB2312"/>
          <w:sz w:val="28"/>
          <w:szCs w:val="28"/>
        </w:rPr>
        <w:t>原件和被委托人身份证原件。</w:t>
      </w:r>
    </w:p>
    <w:p>
      <w:pPr>
        <w:spacing w:line="360" w:lineRule="auto"/>
        <w:ind w:firstLine="560" w:firstLineChars="200"/>
        <w:rPr>
          <w:rFonts w:eastAsia="仿宋_GB2312"/>
          <w:sz w:val="28"/>
          <w:szCs w:val="28"/>
        </w:rPr>
      </w:pPr>
      <w:r>
        <w:rPr>
          <w:rFonts w:hint="eastAsia" w:eastAsia="仿宋_GB2312"/>
          <w:sz w:val="28"/>
          <w:szCs w:val="28"/>
        </w:rPr>
        <w:t>以上资料不全将按资格审查不合格论处，取消其投标资格。</w:t>
      </w:r>
    </w:p>
    <w:p>
      <w:pPr>
        <w:spacing w:line="360" w:lineRule="auto"/>
        <w:ind w:firstLine="560" w:firstLineChars="200"/>
        <w:rPr>
          <w:rFonts w:eastAsia="仿宋_GB2312"/>
          <w:sz w:val="28"/>
          <w:szCs w:val="28"/>
        </w:rPr>
      </w:pP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hint="eastAsia" w:eastAsia="仿宋_GB2312"/>
          <w:b/>
          <w:sz w:val="28"/>
          <w:szCs w:val="28"/>
        </w:rPr>
        <w:t xml:space="preserve"> 开标、评标、定标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w:t>
      </w:r>
      <w:r>
        <w:rPr>
          <w:rFonts w:hint="eastAsia" w:eastAsia="仿宋_GB2312"/>
          <w:sz w:val="28"/>
          <w:szCs w:val="28"/>
        </w:rPr>
        <w:t xml:space="preserve"> 投标人注意事项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.1.1</w:t>
      </w:r>
      <w:r>
        <w:rPr>
          <w:rFonts w:hint="eastAsia" w:eastAsia="仿宋_GB2312"/>
          <w:sz w:val="28"/>
          <w:szCs w:val="28"/>
        </w:rPr>
        <w:t xml:space="preserve"> 通过资格审查的投标人方可参加开标。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.1.2</w:t>
      </w:r>
      <w:r>
        <w:rPr>
          <w:rFonts w:hint="eastAsia" w:eastAsia="仿宋_GB2312"/>
          <w:sz w:val="28"/>
          <w:szCs w:val="28"/>
        </w:rPr>
        <w:t xml:space="preserve"> 参加现场投标的法定代表人或委托代理人可参加投标活动的全过程。</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.1.3</w:t>
      </w:r>
      <w:r>
        <w:rPr>
          <w:rFonts w:hint="eastAsia" w:eastAsia="仿宋_GB2312"/>
          <w:sz w:val="28"/>
          <w:szCs w:val="28"/>
        </w:rPr>
        <w:t>参加现场投标的法定代表人或委托代理人必须提供按招标文件要求制作并密封的投标文件。</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.1.4</w:t>
      </w:r>
      <w:r>
        <w:rPr>
          <w:rFonts w:hint="eastAsia" w:eastAsia="仿宋_GB2312"/>
          <w:b/>
          <w:sz w:val="28"/>
          <w:szCs w:val="28"/>
        </w:rPr>
        <w:t xml:space="preserve"> </w:t>
      </w:r>
      <w:r>
        <w:rPr>
          <w:rFonts w:hint="eastAsia" w:eastAsia="仿宋_GB2312"/>
          <w:sz w:val="28"/>
          <w:szCs w:val="28"/>
        </w:rPr>
        <w:t>参加现场投标的法定代表人或委托代理人必须在投标时出示本人身份证件，并提前交纳投标保证金。</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.1.5</w:t>
      </w:r>
      <w:r>
        <w:rPr>
          <w:rFonts w:hint="eastAsia" w:eastAsia="仿宋_GB2312"/>
          <w:sz w:val="28"/>
          <w:szCs w:val="28"/>
        </w:rPr>
        <w:t xml:space="preserve"> 投标文件未按规定时间送达的将取消投标资格。</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eastAsia="仿宋_GB2312"/>
          <w:sz w:val="28"/>
          <w:szCs w:val="28"/>
        </w:rPr>
        <w:t xml:space="preserve"> 开标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.2.1</w:t>
      </w:r>
      <w:r>
        <w:rPr>
          <w:rFonts w:hint="eastAsia" w:eastAsia="仿宋_GB2312"/>
          <w:sz w:val="28"/>
          <w:szCs w:val="28"/>
        </w:rPr>
        <w:t xml:space="preserve"> 开标时间：</w:t>
      </w:r>
      <w:r>
        <w:rPr>
          <w:rFonts w:hint="eastAsia" w:eastAsia="仿宋_GB2312"/>
          <w:sz w:val="28"/>
          <w:szCs w:val="28"/>
          <w:u w:val="single"/>
        </w:rPr>
        <w:t>2021年11月29 日下午14:40</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.2.2</w:t>
      </w:r>
      <w:r>
        <w:rPr>
          <w:rFonts w:hint="eastAsia" w:eastAsia="仿宋_GB2312"/>
          <w:b/>
          <w:sz w:val="28"/>
          <w:szCs w:val="28"/>
        </w:rPr>
        <w:t xml:space="preserve"> </w:t>
      </w:r>
      <w:r>
        <w:rPr>
          <w:rFonts w:hint="eastAsia" w:eastAsia="仿宋_GB2312"/>
          <w:sz w:val="28"/>
          <w:szCs w:val="28"/>
        </w:rPr>
        <w:t>开标地点：</w:t>
      </w:r>
      <w:r>
        <w:rPr>
          <w:rFonts w:hint="eastAsia" w:eastAsia="仿宋_GB2312"/>
          <w:sz w:val="28"/>
          <w:szCs w:val="28"/>
          <w:u w:val="single"/>
        </w:rPr>
        <w:t xml:space="preserve">启润轮胎（德州）有限公司，办公楼3楼会议室 </w:t>
      </w: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.2.3</w:t>
      </w:r>
      <w:r>
        <w:rPr>
          <w:rFonts w:hint="eastAsia" w:ascii="Times New Roman" w:hAnsi="Times New Roman" w:eastAsia="仿宋_GB2312"/>
          <w:b/>
          <w:sz w:val="28"/>
          <w:szCs w:val="28"/>
        </w:rPr>
        <w:t xml:space="preserve"> </w:t>
      </w:r>
      <w:r>
        <w:rPr>
          <w:rFonts w:hint="eastAsia" w:eastAsia="仿宋_GB2312"/>
          <w:sz w:val="28"/>
          <w:szCs w:val="28"/>
        </w:rPr>
        <w:t>开标时，参加现场投标的投标人或者其推选的代表检查其投标文件的密封情况，未参加现场投标的，其投标文件由招标工作人员检查投标文件的密封情况，经确认无误后，当众拆封。投标文件未按规定密封的，取消其投标资格。</w:t>
      </w:r>
    </w:p>
    <w:p>
      <w:pPr>
        <w:spacing w:line="360" w:lineRule="auto"/>
        <w:rPr>
          <w:rFonts w:eastAsia="仿宋_GB2312"/>
          <w:sz w:val="28"/>
          <w:szCs w:val="28"/>
        </w:rPr>
      </w:pPr>
      <w:r>
        <w:rPr>
          <w:rFonts w:hint="eastAsia" w:ascii="Times New Roman" w:hAnsi="Times New Roman" w:eastAsia="仿宋_GB2312"/>
          <w:b/>
          <w:sz w:val="28"/>
          <w:szCs w:val="28"/>
        </w:rPr>
        <w:t>11.2.4</w:t>
      </w:r>
      <w:r>
        <w:rPr>
          <w:rFonts w:hint="eastAsia" w:ascii="Times New Roman" w:hAnsi="Times New Roman" w:eastAsia="仿宋_GB2312"/>
          <w:sz w:val="28"/>
          <w:szCs w:val="28"/>
        </w:rPr>
        <w:t xml:space="preserve"> </w:t>
      </w:r>
      <w:r>
        <w:rPr>
          <w:rFonts w:hint="eastAsia" w:eastAsia="仿宋_GB2312"/>
          <w:sz w:val="28"/>
          <w:szCs w:val="28"/>
        </w:rPr>
        <w:t>投标文件的审查</w:t>
      </w:r>
    </w:p>
    <w:p>
      <w:pPr>
        <w:spacing w:line="360" w:lineRule="auto"/>
        <w:jc w:val="left"/>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.1</w:t>
      </w:r>
      <w:r>
        <w:rPr>
          <w:rFonts w:hint="eastAsia" w:ascii="Times New Roman" w:hAnsi="Times New Roman" w:eastAsia="仿宋_GB2312"/>
          <w:b/>
          <w:sz w:val="28"/>
          <w:szCs w:val="28"/>
        </w:rPr>
        <w:t xml:space="preserve"> </w:t>
      </w:r>
      <w:r>
        <w:rPr>
          <w:rFonts w:hint="eastAsia" w:eastAsia="仿宋_GB2312"/>
          <w:sz w:val="28"/>
          <w:szCs w:val="28"/>
        </w:rPr>
        <w:t>开标后，招标工作人员将审查投标文件是否完整，是否有计算错误，文件是否恰当地签署，投标文件是否符合要求。如果单价和总价有差异，以单价为准，并对总价进行修改。若数字和文字表示的金额之间有差异，以文字金额为准，并对数字做相应修改。如投标人不接受上述修改，则视为不符合要求。</w:t>
      </w:r>
    </w:p>
    <w:p>
      <w:pPr>
        <w:spacing w:line="360" w:lineRule="auto"/>
        <w:rPr>
          <w:rFonts w:eastAsia="仿宋_GB2312"/>
          <w:sz w:val="28"/>
          <w:szCs w:val="28"/>
        </w:rPr>
      </w:pPr>
      <w:r>
        <w:rPr>
          <w:rFonts w:hint="eastAsia" w:eastAsia="仿宋_GB2312"/>
          <w:sz w:val="28"/>
          <w:szCs w:val="28"/>
        </w:rPr>
        <w:t xml:space="preserve">    投标文件未按招标文件要求编制或提供资料不全的均将视为不符合要求。</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.2</w:t>
      </w:r>
      <w:r>
        <w:rPr>
          <w:rFonts w:hint="eastAsia" w:eastAsia="仿宋_GB2312"/>
          <w:sz w:val="28"/>
          <w:szCs w:val="28"/>
        </w:rPr>
        <w:t xml:space="preserve"> 在对投标文件进行详细评议前，招标人将审查每一投标人是否对招标文件的要求做出了实质性的响应。实质性的响应系指投标文件符合招标文件的所有条款、条件及规定而没有重大偏离或保留。</w:t>
      </w:r>
    </w:p>
    <w:p>
      <w:pPr>
        <w:spacing w:line="360" w:lineRule="auto"/>
        <w:ind w:firstLine="560" w:firstLineChars="200"/>
        <w:rPr>
          <w:rFonts w:eastAsia="仿宋_GB2312"/>
          <w:sz w:val="28"/>
          <w:szCs w:val="28"/>
        </w:rPr>
      </w:pPr>
      <w:r>
        <w:rPr>
          <w:rFonts w:hint="eastAsia" w:eastAsia="仿宋_GB2312"/>
          <w:sz w:val="28"/>
          <w:szCs w:val="28"/>
        </w:rPr>
        <w:t>重大偏离或保留系指实质上影响到合同项下的供货范围、质量或指与招标文件有实质性不一致，限制了合同项下招标人的权力和投标人的义务。该重大偏离或保留将影响投标人的竞争地位。</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.2.</w:t>
      </w:r>
      <w:r>
        <w:rPr>
          <w:rFonts w:hint="eastAsia" w:ascii="Times New Roman" w:hAnsi="Times New Roman" w:eastAsia="仿宋_GB2312"/>
          <w:b/>
          <w:sz w:val="28"/>
          <w:szCs w:val="28"/>
        </w:rPr>
        <w:t>4</w:t>
      </w:r>
      <w:r>
        <w:rPr>
          <w:rFonts w:ascii="Times New Roman" w:hAnsi="Times New Roman" w:eastAsia="仿宋_GB2312"/>
          <w:b/>
          <w:sz w:val="28"/>
          <w:szCs w:val="28"/>
        </w:rPr>
        <w:t>.3</w:t>
      </w:r>
      <w:r>
        <w:rPr>
          <w:rFonts w:hint="eastAsia" w:ascii="Times New Roman" w:hAnsi="Times New Roman" w:eastAsia="仿宋_GB2312"/>
          <w:b/>
          <w:sz w:val="28"/>
          <w:szCs w:val="28"/>
        </w:rPr>
        <w:t xml:space="preserve"> </w:t>
      </w:r>
      <w:r>
        <w:rPr>
          <w:rFonts w:hint="eastAsia" w:eastAsia="仿宋_GB2312"/>
          <w:sz w:val="28"/>
          <w:szCs w:val="28"/>
        </w:rPr>
        <w:t>招标人确定投标文件的响应性是基于投标文件本身，而不依靠外部的补充证据。</w:t>
      </w:r>
    </w:p>
    <w:p>
      <w:pPr>
        <w:spacing w:line="360" w:lineRule="auto"/>
        <w:ind w:firstLine="560" w:firstLineChars="200"/>
        <w:rPr>
          <w:rFonts w:eastAsia="仿宋_GB2312"/>
          <w:sz w:val="28"/>
          <w:szCs w:val="28"/>
        </w:rPr>
      </w:pPr>
      <w:r>
        <w:rPr>
          <w:rFonts w:hint="eastAsia" w:eastAsia="仿宋_GB2312"/>
          <w:sz w:val="28"/>
          <w:szCs w:val="28"/>
        </w:rPr>
        <w:t>招标人将拒绝被确定为非实质性响应的投标，投标人不能通过修正或撤销不符合之处而使其投标成为实质性响应的投标。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w:t>
      </w:r>
      <w:r>
        <w:rPr>
          <w:rFonts w:hint="eastAsia" w:eastAsia="仿宋_GB2312"/>
          <w:sz w:val="28"/>
          <w:szCs w:val="28"/>
        </w:rPr>
        <w:t xml:space="preserve"> 评标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.3.1</w:t>
      </w:r>
      <w:r>
        <w:rPr>
          <w:rFonts w:hint="eastAsia" w:eastAsia="仿宋_GB2312"/>
          <w:b/>
          <w:sz w:val="28"/>
          <w:szCs w:val="28"/>
        </w:rPr>
        <w:t xml:space="preserve"> </w:t>
      </w:r>
      <w:r>
        <w:rPr>
          <w:rFonts w:hint="eastAsia" w:eastAsia="仿宋_GB2312"/>
          <w:sz w:val="28"/>
          <w:szCs w:val="28"/>
        </w:rPr>
        <w:t>招标人将对通过投标文件审查且被确定为实质性响应的投标进行评议。</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.3.2</w:t>
      </w:r>
      <w:r>
        <w:rPr>
          <w:rFonts w:hint="eastAsia" w:eastAsia="仿宋_GB2312"/>
          <w:sz w:val="28"/>
          <w:szCs w:val="28"/>
        </w:rPr>
        <w:t xml:space="preserve"> 评标人员</w:t>
      </w:r>
    </w:p>
    <w:p>
      <w:pPr>
        <w:spacing w:line="360" w:lineRule="auto"/>
        <w:ind w:firstLine="560" w:firstLineChars="200"/>
        <w:rPr>
          <w:rFonts w:eastAsia="仿宋_GB2312"/>
          <w:sz w:val="28"/>
          <w:szCs w:val="28"/>
        </w:rPr>
      </w:pPr>
      <w:r>
        <w:rPr>
          <w:rFonts w:hint="eastAsia" w:eastAsia="仿宋_GB2312"/>
          <w:sz w:val="28"/>
          <w:szCs w:val="28"/>
        </w:rPr>
        <w:t>由厦门国贸物产有限公司按规定确定评审小组人员组成。</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.3.3</w:t>
      </w:r>
      <w:r>
        <w:rPr>
          <w:rFonts w:hint="eastAsia" w:eastAsia="仿宋_GB2312"/>
          <w:sz w:val="28"/>
          <w:szCs w:val="28"/>
        </w:rPr>
        <w:t xml:space="preserve"> 评标办法</w:t>
      </w:r>
    </w:p>
    <w:p>
      <w:pPr>
        <w:spacing w:line="360" w:lineRule="auto"/>
        <w:ind w:firstLine="560" w:firstLineChars="200"/>
        <w:rPr>
          <w:rFonts w:eastAsia="仿宋_GB2312"/>
          <w:sz w:val="28"/>
          <w:szCs w:val="28"/>
        </w:rPr>
      </w:pPr>
      <w:r>
        <w:rPr>
          <w:rFonts w:hint="eastAsia" w:eastAsia="仿宋_GB2312"/>
          <w:sz w:val="28"/>
          <w:szCs w:val="28"/>
        </w:rPr>
        <w:t>招标人将本着公平、公正、诚实信用、科学择优的原则进行评标。本项目评标采取最高价中标法，根据投标价格高低确定本项目的第一中标候选人和第二中标候选人、第三中标候选人。</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w:t>
      </w:r>
      <w:r>
        <w:rPr>
          <w:rFonts w:hint="eastAsia" w:eastAsia="仿宋_GB2312"/>
          <w:sz w:val="28"/>
          <w:szCs w:val="28"/>
        </w:rPr>
        <w:t xml:space="preserve"> 投标文件的澄清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.3.4.1</w:t>
      </w:r>
      <w:r>
        <w:rPr>
          <w:rFonts w:hint="eastAsia" w:eastAsia="仿宋_GB2312"/>
          <w:sz w:val="28"/>
          <w:szCs w:val="28"/>
        </w:rPr>
        <w:t>为切实落实评标原则，招标人有权要求投标人以书面形式对其投标文件进行澄清。</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.3.4.2</w:t>
      </w:r>
      <w:r>
        <w:rPr>
          <w:rFonts w:hint="eastAsia" w:eastAsia="仿宋_GB2312"/>
          <w:sz w:val="28"/>
          <w:szCs w:val="28"/>
        </w:rPr>
        <w:t xml:space="preserve"> 澄清的书面资料必须经其法定代表人或委托代理人签字后方为有效，与投标文件具有同等的法律效力。</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.3.5</w:t>
      </w:r>
      <w:r>
        <w:rPr>
          <w:rFonts w:hint="eastAsia" w:eastAsia="仿宋_GB2312"/>
          <w:b/>
          <w:sz w:val="28"/>
          <w:szCs w:val="28"/>
        </w:rPr>
        <w:t xml:space="preserve"> </w:t>
      </w:r>
      <w:r>
        <w:rPr>
          <w:rFonts w:hint="eastAsia" w:eastAsia="仿宋_GB2312"/>
          <w:sz w:val="28"/>
          <w:szCs w:val="28"/>
        </w:rPr>
        <w:t>评标小组按照评标办法对参加评标的投标进行评议后确定各投标人的排序，并当场公布。</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w:t>
      </w:r>
      <w:r>
        <w:rPr>
          <w:rFonts w:hint="eastAsia" w:eastAsia="仿宋_GB2312"/>
          <w:sz w:val="28"/>
          <w:szCs w:val="28"/>
        </w:rPr>
        <w:t xml:space="preserve"> 定标</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1</w:t>
      </w:r>
      <w:r>
        <w:rPr>
          <w:rFonts w:ascii="Times New Roman" w:hAnsi="Times New Roman" w:eastAsia="仿宋_GB2312"/>
          <w:b/>
          <w:sz w:val="28"/>
          <w:szCs w:val="28"/>
        </w:rPr>
        <w:t>.4.1</w:t>
      </w:r>
      <w:r>
        <w:rPr>
          <w:rFonts w:hint="eastAsia" w:eastAsia="仿宋_GB2312"/>
          <w:sz w:val="28"/>
          <w:szCs w:val="28"/>
        </w:rPr>
        <w:t xml:space="preserve"> 招标人根据评标结果，选择履行合同能力强，能够提供最佳的服务，信誉好的投标人作为中标候选人，并当场公布。</w:t>
      </w:r>
    </w:p>
    <w:p>
      <w:pPr>
        <w:spacing w:line="360" w:lineRule="auto"/>
        <w:rPr>
          <w:rFonts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2</w:t>
      </w:r>
      <w:r>
        <w:rPr>
          <w:rFonts w:ascii="Times New Roman" w:hAnsi="Times New Roman" w:eastAsia="仿宋_GB2312"/>
          <w:b/>
          <w:sz w:val="28"/>
          <w:szCs w:val="28"/>
        </w:rPr>
        <w:t xml:space="preserve"> </w:t>
      </w:r>
      <w:r>
        <w:rPr>
          <w:rFonts w:hint="eastAsia" w:eastAsia="仿宋_GB2312"/>
          <w:b/>
          <w:sz w:val="28"/>
          <w:szCs w:val="28"/>
        </w:rPr>
        <w:t>取消中标资格</w:t>
      </w:r>
    </w:p>
    <w:p>
      <w:pPr>
        <w:spacing w:line="360" w:lineRule="auto"/>
        <w:ind w:firstLine="560" w:firstLineChars="200"/>
        <w:rPr>
          <w:rFonts w:eastAsia="仿宋_GB2312"/>
          <w:sz w:val="28"/>
          <w:szCs w:val="28"/>
        </w:rPr>
      </w:pPr>
      <w:r>
        <w:rPr>
          <w:rFonts w:hint="eastAsia" w:eastAsia="仿宋_GB2312"/>
          <w:sz w:val="28"/>
          <w:szCs w:val="28"/>
        </w:rPr>
        <w:t>投标人出现以下任何情况，都将取消其中标资格。</w:t>
      </w:r>
    </w:p>
    <w:p>
      <w:pPr>
        <w:spacing w:line="360" w:lineRule="auto"/>
        <w:ind w:firstLine="560" w:firstLineChars="200"/>
        <w:rPr>
          <w:rFonts w:eastAsia="仿宋_GB2312"/>
          <w:sz w:val="28"/>
          <w:szCs w:val="28"/>
        </w:rPr>
      </w:pPr>
      <w:r>
        <w:rPr>
          <w:rFonts w:ascii="Times New Roman" w:hAnsi="Times New Roman" w:eastAsia="仿宋_GB2312"/>
          <w:sz w:val="28"/>
          <w:szCs w:val="28"/>
        </w:rPr>
        <w:t>a)</w:t>
      </w:r>
      <w:r>
        <w:rPr>
          <w:rFonts w:hint="eastAsia" w:eastAsia="仿宋_GB2312"/>
          <w:sz w:val="28"/>
          <w:szCs w:val="28"/>
        </w:rPr>
        <w:t xml:space="preserve"> 在投标过程中，对评标成员施加影响的任何行为；</w:t>
      </w:r>
    </w:p>
    <w:p>
      <w:pPr>
        <w:spacing w:line="360" w:lineRule="auto"/>
        <w:ind w:firstLine="560" w:firstLineChars="200"/>
        <w:rPr>
          <w:rFonts w:eastAsia="仿宋_GB2312"/>
          <w:sz w:val="28"/>
          <w:szCs w:val="28"/>
        </w:rPr>
      </w:pPr>
      <w:r>
        <w:rPr>
          <w:rFonts w:ascii="Times New Roman" w:hAnsi="Times New Roman" w:eastAsia="仿宋_GB2312"/>
          <w:sz w:val="28"/>
          <w:szCs w:val="28"/>
        </w:rPr>
        <w:t>b)</w:t>
      </w:r>
      <w:r>
        <w:rPr>
          <w:rFonts w:hint="eastAsia" w:eastAsia="仿宋_GB2312"/>
          <w:sz w:val="28"/>
          <w:szCs w:val="28"/>
        </w:rPr>
        <w:t xml:space="preserve"> 非因不可抗力拒绝签订合同；</w:t>
      </w:r>
    </w:p>
    <w:p>
      <w:pPr>
        <w:spacing w:line="360" w:lineRule="auto"/>
        <w:ind w:firstLine="560" w:firstLineChars="200"/>
        <w:rPr>
          <w:rFonts w:eastAsia="仿宋_GB2312"/>
          <w:sz w:val="28"/>
          <w:szCs w:val="28"/>
        </w:rPr>
      </w:pPr>
      <w:r>
        <w:rPr>
          <w:rFonts w:hint="eastAsia" w:eastAsia="仿宋_GB2312"/>
          <w:sz w:val="28"/>
          <w:szCs w:val="28"/>
        </w:rPr>
        <w:t xml:space="preserve">c) 投标过程中弄虚作假，虚报谎报能力水平、资信和业绩，经发现并查实的； </w:t>
      </w:r>
    </w:p>
    <w:p>
      <w:pPr>
        <w:spacing w:line="360" w:lineRule="auto"/>
        <w:ind w:firstLine="560" w:firstLineChars="200"/>
        <w:rPr>
          <w:rFonts w:eastAsia="仿宋_GB2312"/>
          <w:sz w:val="28"/>
          <w:szCs w:val="28"/>
        </w:rPr>
      </w:pPr>
      <w:r>
        <w:rPr>
          <w:rFonts w:hint="eastAsia" w:eastAsia="仿宋_GB2312"/>
          <w:sz w:val="28"/>
          <w:szCs w:val="28"/>
        </w:rPr>
        <w:t>d) 参与围标、串标的；</w:t>
      </w:r>
    </w:p>
    <w:p>
      <w:pPr>
        <w:spacing w:line="360" w:lineRule="auto"/>
        <w:ind w:firstLine="560" w:firstLineChars="200"/>
        <w:rPr>
          <w:rFonts w:ascii="宋体" w:hAnsi="宋体" w:eastAsia="仿宋_GB2312"/>
          <w:sz w:val="28"/>
          <w:szCs w:val="28"/>
        </w:rPr>
      </w:pPr>
      <w:r>
        <w:rPr>
          <w:rFonts w:hint="eastAsia" w:eastAsia="仿宋_GB2312"/>
          <w:sz w:val="28"/>
          <w:szCs w:val="28"/>
        </w:rPr>
        <w:t>e) 我司评标委员会认定投</w:t>
      </w:r>
      <w:r>
        <w:rPr>
          <w:rFonts w:hint="eastAsia" w:ascii="宋体" w:hAnsi="宋体" w:eastAsia="仿宋_GB2312"/>
          <w:sz w:val="28"/>
          <w:szCs w:val="28"/>
        </w:rPr>
        <w:t>标报价异常的。</w:t>
      </w:r>
    </w:p>
    <w:p>
      <w:pPr>
        <w:spacing w:line="360" w:lineRule="auto"/>
        <w:ind w:firstLine="560" w:firstLineChars="200"/>
        <w:rPr>
          <w:rFonts w:ascii="宋体" w:hAnsi="宋体" w:eastAsia="仿宋_GB2312"/>
          <w:sz w:val="28"/>
          <w:szCs w:val="28"/>
        </w:rPr>
      </w:pPr>
    </w:p>
    <w:p>
      <w:pPr>
        <w:spacing w:line="360" w:lineRule="auto"/>
        <w:rPr>
          <w:rFonts w:eastAsia="仿宋_GB2312"/>
          <w:b/>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hint="eastAsia" w:eastAsia="仿宋_GB2312"/>
          <w:b/>
          <w:sz w:val="28"/>
          <w:szCs w:val="28"/>
        </w:rPr>
        <w:t xml:space="preserve"> 合同签订</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.1</w:t>
      </w:r>
      <w:r>
        <w:rPr>
          <w:rFonts w:hint="eastAsia" w:eastAsia="仿宋_GB2312"/>
          <w:sz w:val="28"/>
          <w:szCs w:val="28"/>
        </w:rPr>
        <w:t xml:space="preserve"> 中标通知</w:t>
      </w:r>
    </w:p>
    <w:p>
      <w:pPr>
        <w:spacing w:line="360" w:lineRule="auto"/>
        <w:ind w:firstLine="560" w:firstLineChars="200"/>
        <w:rPr>
          <w:rFonts w:eastAsia="仿宋_GB2312"/>
          <w:sz w:val="28"/>
          <w:szCs w:val="28"/>
        </w:rPr>
      </w:pPr>
      <w:r>
        <w:rPr>
          <w:rFonts w:hint="eastAsia" w:eastAsia="仿宋_GB2312"/>
          <w:sz w:val="28"/>
          <w:szCs w:val="28"/>
        </w:rPr>
        <w:t>中标人应在中标公布后</w:t>
      </w:r>
      <w:r>
        <w:rPr>
          <w:rFonts w:ascii="Times New Roman" w:hAnsi="Times New Roman" w:eastAsia="仿宋_GB2312"/>
          <w:sz w:val="28"/>
          <w:szCs w:val="28"/>
        </w:rPr>
        <w:t>2</w:t>
      </w:r>
      <w:r>
        <w:rPr>
          <w:rFonts w:hint="eastAsia" w:eastAsia="仿宋_GB2312"/>
          <w:sz w:val="28"/>
          <w:szCs w:val="28"/>
        </w:rPr>
        <w:t>日内到招标人指定地点领取纸质中标通知书，并签订合同（附录</w:t>
      </w:r>
      <w:r>
        <w:rPr>
          <w:rFonts w:eastAsia="仿宋_GB2312"/>
          <w:sz w:val="28"/>
          <w:szCs w:val="28"/>
        </w:rPr>
        <w:t>F</w:t>
      </w:r>
      <w:r>
        <w:rPr>
          <w:rFonts w:hint="eastAsia" w:eastAsia="仿宋_GB2312"/>
          <w:sz w:val="28"/>
          <w:szCs w:val="28"/>
        </w:rPr>
        <w:t>）。经招标人同意，中标人也可要求招标人将中标通知书和合同邮寄至投标人指定地点。</w:t>
      </w:r>
    </w:p>
    <w:p>
      <w:pPr>
        <w:spacing w:line="360" w:lineRule="auto"/>
        <w:rPr>
          <w:rFonts w:eastAsia="仿宋_GB2312"/>
          <w:sz w:val="28"/>
          <w:szCs w:val="28"/>
        </w:rPr>
      </w:pPr>
      <w:r>
        <w:rPr>
          <w:rFonts w:ascii="Times New Roman" w:hAnsi="Times New Roman" w:eastAsia="仿宋_GB2312"/>
          <w:b/>
          <w:sz w:val="28"/>
          <w:szCs w:val="28"/>
        </w:rPr>
        <w:t>1</w:t>
      </w:r>
      <w:r>
        <w:rPr>
          <w:rFonts w:hint="eastAsia" w:ascii="Times New Roman" w:hAnsi="Times New Roman" w:eastAsia="仿宋_GB2312"/>
          <w:b/>
          <w:sz w:val="28"/>
          <w:szCs w:val="28"/>
        </w:rPr>
        <w:t>3</w:t>
      </w:r>
      <w:r>
        <w:rPr>
          <w:rFonts w:ascii="Times New Roman" w:hAnsi="Times New Roman" w:eastAsia="仿宋_GB2312"/>
          <w:b/>
          <w:sz w:val="28"/>
          <w:szCs w:val="28"/>
        </w:rPr>
        <w:t>.2</w:t>
      </w:r>
      <w:r>
        <w:rPr>
          <w:rFonts w:hint="eastAsia" w:eastAsia="仿宋_GB2312"/>
          <w:sz w:val="28"/>
          <w:szCs w:val="28"/>
        </w:rPr>
        <w:t xml:space="preserve"> 合同的签订</w:t>
      </w:r>
    </w:p>
    <w:p>
      <w:pPr>
        <w:spacing w:line="360" w:lineRule="auto"/>
        <w:ind w:firstLine="560" w:firstLineChars="200"/>
        <w:rPr>
          <w:rFonts w:eastAsia="仿宋_GB2312"/>
          <w:sz w:val="28"/>
          <w:szCs w:val="28"/>
        </w:rPr>
      </w:pPr>
      <w:r>
        <w:rPr>
          <w:rFonts w:hint="eastAsia" w:eastAsia="仿宋_GB2312"/>
          <w:sz w:val="28"/>
          <w:szCs w:val="28"/>
        </w:rPr>
        <w:t>除非招标人同意以其他方式签订合同，中标人应在规定时间内派员到招标人指定地点与招标人签订合同。签订合同时，中标人代表应出示法定代表人证书或授权委托书及本人身份证件，合同经双方法定代表人或其授权的代理人签署，加盖公章后生效。</w:t>
      </w:r>
    </w:p>
    <w:p>
      <w:pPr>
        <w:spacing w:line="360" w:lineRule="auto"/>
        <w:ind w:firstLine="560" w:firstLineChars="200"/>
        <w:rPr>
          <w:rFonts w:eastAsia="仿宋_GB2312"/>
          <w:sz w:val="28"/>
          <w:szCs w:val="28"/>
        </w:rPr>
      </w:pPr>
      <w:r>
        <w:rPr>
          <w:rFonts w:hint="eastAsia" w:eastAsia="仿宋_GB2312"/>
          <w:sz w:val="28"/>
          <w:szCs w:val="28"/>
        </w:rPr>
        <w:t>中标人未在规定的时间内，派员到招标人指定地点与招标人签订合同的，视为拒绝签订合同，其投标保证金不予退还。</w:t>
      </w:r>
    </w:p>
    <w:p>
      <w:pPr>
        <w:spacing w:line="360" w:lineRule="auto"/>
        <w:ind w:firstLine="560" w:firstLineChars="200"/>
        <w:rPr>
          <w:rFonts w:eastAsia="仿宋_GB2312"/>
          <w:sz w:val="28"/>
          <w:szCs w:val="28"/>
        </w:rPr>
      </w:pPr>
    </w:p>
    <w:p>
      <w:pPr>
        <w:spacing w:line="360" w:lineRule="auto"/>
        <w:rPr>
          <w:rFonts w:ascii="宋体" w:hAnsi="宋体" w:eastAsia="仿宋_GB2312"/>
          <w:sz w:val="28"/>
          <w:szCs w:val="28"/>
        </w:rPr>
      </w:pPr>
    </w:p>
    <w:p>
      <w:pPr>
        <w:spacing w:line="360" w:lineRule="auto"/>
        <w:jc w:val="right"/>
        <w:rPr>
          <w:rFonts w:ascii="宋体" w:hAnsi="宋体" w:eastAsia="仿宋_GB2312"/>
          <w:sz w:val="28"/>
          <w:szCs w:val="28"/>
        </w:rPr>
      </w:pPr>
      <w:r>
        <w:rPr>
          <w:rFonts w:hint="eastAsia" w:ascii="宋体" w:hAnsi="宋体" w:eastAsia="仿宋_GB2312"/>
          <w:sz w:val="28"/>
          <w:szCs w:val="28"/>
        </w:rPr>
        <w:t>厦门国贸物产有限公司</w:t>
      </w:r>
      <w:r>
        <w:rPr>
          <w:rFonts w:ascii="宋体" w:hAnsi="宋体" w:eastAsia="仿宋_GB2312"/>
          <w:sz w:val="28"/>
          <w:szCs w:val="28"/>
        </w:rPr>
        <w:t xml:space="preserve"> </w:t>
      </w:r>
    </w:p>
    <w:p>
      <w:pPr>
        <w:spacing w:line="360" w:lineRule="auto"/>
        <w:rPr>
          <w:rFonts w:ascii="宋体" w:hAnsi="宋体" w:eastAsia="仿宋_GB2312"/>
          <w:sz w:val="28"/>
          <w:szCs w:val="28"/>
        </w:rPr>
      </w:pPr>
      <w:r>
        <w:rPr>
          <w:rFonts w:hint="eastAsia" w:ascii="宋体" w:hAnsi="宋体" w:eastAsia="仿宋_GB2312"/>
          <w:sz w:val="28"/>
          <w:szCs w:val="28"/>
        </w:rPr>
        <w:t xml:space="preserve">                                         2021年11月18日 </w:t>
      </w:r>
    </w:p>
    <w:p>
      <w:pPr>
        <w:rPr>
          <w:rFonts w:ascii="宋体" w:hAnsi="宋体" w:eastAsia="仿宋_GB2312"/>
          <w:sz w:val="28"/>
          <w:szCs w:val="28"/>
        </w:rPr>
      </w:pPr>
      <w:r>
        <w:rPr>
          <w:rFonts w:hint="eastAsia" w:ascii="宋体" w:hAnsi="宋体" w:eastAsia="仿宋_GB2312"/>
          <w:sz w:val="28"/>
          <w:szCs w:val="28"/>
        </w:rPr>
        <w:br w:type="page"/>
      </w:r>
    </w:p>
    <w:p>
      <w:pPr>
        <w:tabs>
          <w:tab w:val="left" w:pos="990"/>
        </w:tabs>
        <w:jc w:val="center"/>
        <w:rPr>
          <w:rFonts w:ascii="宋体" w:hAnsi="宋体"/>
          <w:sz w:val="32"/>
          <w:szCs w:val="32"/>
        </w:rPr>
      </w:pPr>
      <w:r>
        <w:rPr>
          <w:rFonts w:hint="eastAsia" w:ascii="宋体" w:hAnsi="宋体"/>
          <w:b/>
          <w:sz w:val="32"/>
          <w:szCs w:val="32"/>
        </w:rPr>
        <w:t>附录</w:t>
      </w:r>
      <w:r>
        <w:rPr>
          <w:rFonts w:ascii="Times New Roman" w:hAnsi="Times New Roman"/>
          <w:sz w:val="32"/>
          <w:szCs w:val="32"/>
        </w:rPr>
        <w:t>A</w:t>
      </w:r>
      <w:r>
        <w:rPr>
          <w:rFonts w:hint="eastAsia" w:ascii="宋体" w:hAnsi="宋体"/>
          <w:sz w:val="32"/>
          <w:szCs w:val="32"/>
        </w:rPr>
        <w:t>：</w:t>
      </w:r>
    </w:p>
    <w:p>
      <w:pPr>
        <w:tabs>
          <w:tab w:val="left" w:pos="990"/>
        </w:tabs>
        <w:jc w:val="center"/>
        <w:rPr>
          <w:rFonts w:ascii="宋体" w:hAnsi="宋体"/>
          <w:sz w:val="32"/>
          <w:szCs w:val="32"/>
        </w:rPr>
      </w:pPr>
      <w:r>
        <w:rPr>
          <w:rFonts w:hint="eastAsia" w:ascii="宋体" w:hAnsi="宋体"/>
          <w:b/>
          <w:sz w:val="32"/>
          <w:szCs w:val="32"/>
        </w:rPr>
        <w:t>招标模具清单</w:t>
      </w:r>
    </w:p>
    <w:tbl>
      <w:tblPr>
        <w:tblStyle w:val="8"/>
        <w:tblW w:w="8556" w:type="dxa"/>
        <w:jc w:val="center"/>
        <w:tblLayout w:type="autofit"/>
        <w:tblCellMar>
          <w:top w:w="0" w:type="dxa"/>
          <w:left w:w="108" w:type="dxa"/>
          <w:bottom w:w="0" w:type="dxa"/>
          <w:right w:w="108" w:type="dxa"/>
        </w:tblCellMar>
      </w:tblPr>
      <w:tblGrid>
        <w:gridCol w:w="1434"/>
        <w:gridCol w:w="1043"/>
        <w:gridCol w:w="1697"/>
        <w:gridCol w:w="1152"/>
        <w:gridCol w:w="1046"/>
        <w:gridCol w:w="1152"/>
        <w:gridCol w:w="1032"/>
      </w:tblGrid>
      <w:tr>
        <w:tblPrEx>
          <w:tblCellMar>
            <w:top w:w="0" w:type="dxa"/>
            <w:left w:w="108" w:type="dxa"/>
            <w:bottom w:w="0" w:type="dxa"/>
            <w:right w:w="108" w:type="dxa"/>
          </w:tblCellMar>
        </w:tblPrEx>
        <w:trPr>
          <w:trHeight w:val="288"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模具类型</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等线" w:hAnsi="等线" w:eastAsia="等线" w:cs="等线"/>
                <w:b/>
                <w:bCs/>
                <w:color w:val="000000"/>
                <w:sz w:val="22"/>
              </w:rPr>
            </w:pPr>
            <w:r>
              <w:rPr>
                <w:rFonts w:hint="eastAsia" w:ascii="等线" w:hAnsi="等线" w:eastAsia="等线" w:cs="等线"/>
                <w:b/>
                <w:bCs/>
                <w:color w:val="000000"/>
                <w:kern w:val="0"/>
                <w:sz w:val="22"/>
                <w:lang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规格</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花纹</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数量</w:t>
            </w:r>
          </w:p>
        </w:tc>
        <w:tc>
          <w:tcPr>
            <w:tcW w:w="95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内容</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分瓣</w:t>
            </w:r>
          </w:p>
        </w:tc>
      </w:tr>
      <w:tr>
        <w:tblPrEx>
          <w:tblCellMar>
            <w:top w:w="0" w:type="dxa"/>
            <w:left w:w="108" w:type="dxa"/>
            <w:bottom w:w="0" w:type="dxa"/>
            <w:right w:w="108" w:type="dxa"/>
          </w:tblCellMar>
        </w:tblPrEx>
        <w:trPr>
          <w:trHeight w:val="288" w:hRule="atLeast"/>
          <w:jc w:val="center"/>
        </w:trPr>
        <w:tc>
          <w:tcPr>
            <w:tcW w:w="118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型腔、花纹圈</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DY619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DY918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DY819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DY629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DY819S</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DY918S</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DY619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花纹圈</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DY719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花纹圈</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12.00R20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DY829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7.50R16</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AG168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7.50R16</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AG896</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295/80R22.5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AG198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295/80R22.5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AG219</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315/80R22.5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AG198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315/80R22.5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AG198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315/80R22.5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AG168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315/80R22.5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AG168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315/80R22.5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AG168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花纹圈</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11R22.5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AG735</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11R22.5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AG828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11R22.5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AG828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花纹圈</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11R22.5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AG868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11R22.5</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AG168</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型腔</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r>
      <w:tr>
        <w:tblPrEx>
          <w:tblCellMar>
            <w:top w:w="0" w:type="dxa"/>
            <w:left w:w="108" w:type="dxa"/>
            <w:bottom w:w="0" w:type="dxa"/>
            <w:right w:w="108" w:type="dxa"/>
          </w:tblCellMar>
        </w:tblPrEx>
        <w:trPr>
          <w:trHeight w:val="288"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模套</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H380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w:t>
            </w: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sz w:val="22"/>
              </w:rPr>
            </w:pPr>
            <w:r>
              <w:rPr>
                <w:rFonts w:hint="eastAsia" w:ascii="等线" w:hAnsi="等线" w:eastAsia="等线" w:cs="等线"/>
                <w:color w:val="000000"/>
                <w:kern w:val="0"/>
                <w:sz w:val="22"/>
                <w:lang w:bidi="ar"/>
              </w:rPr>
              <w:t>20</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模套</w:t>
            </w: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w:t>
            </w:r>
          </w:p>
        </w:tc>
      </w:tr>
      <w:tr>
        <w:tblPrEx>
          <w:tblCellMar>
            <w:top w:w="0" w:type="dxa"/>
            <w:left w:w="108" w:type="dxa"/>
            <w:bottom w:w="0" w:type="dxa"/>
            <w:right w:w="108" w:type="dxa"/>
          </w:tblCellMar>
        </w:tblPrEx>
        <w:trPr>
          <w:trHeight w:val="288" w:hRule="atLeast"/>
          <w:jc w:val="center"/>
        </w:trPr>
        <w:tc>
          <w:tcPr>
            <w:tcW w:w="11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b/>
                <w:bCs/>
                <w:color w:val="000000"/>
                <w:kern w:val="0"/>
                <w:sz w:val="22"/>
                <w:lang w:bidi="ar"/>
              </w:rPr>
              <w:t>合计</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kern w:val="0"/>
                <w:sz w:val="22"/>
                <w:lang w:bidi="ar"/>
              </w:rPr>
            </w:pPr>
          </w:p>
        </w:tc>
        <w:tc>
          <w:tcPr>
            <w:tcW w:w="14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kern w:val="0"/>
                <w:sz w:val="22"/>
                <w:lang w:bidi="ar"/>
              </w:rPr>
            </w:pP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等线" w:hAnsi="等线" w:eastAsia="等线" w:cs="等线"/>
                <w:color w:val="000000"/>
                <w:kern w:val="0"/>
                <w:sz w:val="22"/>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等线" w:hAnsi="等线" w:eastAsia="等线" w:cs="等线"/>
                <w:color w:val="000000"/>
                <w:kern w:val="0"/>
                <w:sz w:val="22"/>
                <w:lang w:bidi="ar"/>
              </w:rPr>
            </w:pPr>
            <w:r>
              <w:rPr>
                <w:rFonts w:hint="eastAsia" w:ascii="等线" w:hAnsi="等线" w:eastAsia="等线" w:cs="等线"/>
                <w:b/>
                <w:bCs/>
                <w:color w:val="000000"/>
                <w:kern w:val="0"/>
                <w:sz w:val="22"/>
                <w:lang w:bidi="ar"/>
              </w:rPr>
              <w:t>86</w:t>
            </w:r>
          </w:p>
        </w:tc>
        <w:tc>
          <w:tcPr>
            <w:tcW w:w="95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kern w:val="0"/>
                <w:sz w:val="22"/>
                <w:lang w:bidi="ar"/>
              </w:rPr>
            </w:pPr>
          </w:p>
        </w:tc>
        <w:tc>
          <w:tcPr>
            <w:tcW w:w="8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color w:val="000000"/>
                <w:kern w:val="0"/>
                <w:sz w:val="22"/>
                <w:lang w:bidi="ar"/>
              </w:rPr>
            </w:pPr>
          </w:p>
        </w:tc>
      </w:tr>
    </w:tbl>
    <w:p>
      <w:pPr>
        <w:rPr>
          <w:rFonts w:ascii="宋体" w:hAnsi="宋体"/>
          <w:b/>
          <w:sz w:val="28"/>
          <w:szCs w:val="28"/>
        </w:rPr>
      </w:pPr>
      <w:r>
        <w:rPr>
          <w:rFonts w:hint="eastAsia" w:eastAsia="仿宋_GB2312"/>
          <w:sz w:val="28"/>
          <w:szCs w:val="28"/>
        </w:rPr>
        <w:t>交货期为：2021年12月20日前</w:t>
      </w:r>
      <w:r>
        <w:rPr>
          <w:rFonts w:hint="eastAsia" w:ascii="宋体" w:hAnsi="宋体"/>
          <w:b/>
          <w:sz w:val="28"/>
          <w:szCs w:val="28"/>
        </w:rPr>
        <w:br w:type="page"/>
      </w:r>
    </w:p>
    <w:p>
      <w:pPr>
        <w:tabs>
          <w:tab w:val="left" w:pos="990"/>
        </w:tabs>
        <w:spacing w:line="360" w:lineRule="auto"/>
        <w:jc w:val="center"/>
        <w:rPr>
          <w:sz w:val="28"/>
        </w:rPr>
      </w:pPr>
      <w:r>
        <w:rPr>
          <w:rFonts w:hint="eastAsia" w:ascii="宋体" w:hAnsi="宋体"/>
          <w:b/>
          <w:sz w:val="28"/>
          <w:szCs w:val="28"/>
        </w:rPr>
        <w:t>附录</w:t>
      </w:r>
      <w:r>
        <w:rPr>
          <w:rFonts w:hint="eastAsia" w:ascii="Times New Roman" w:hAnsi="Times New Roman"/>
          <w:sz w:val="28"/>
          <w:szCs w:val="28"/>
        </w:rPr>
        <w:t>B</w:t>
      </w:r>
      <w:r>
        <w:rPr>
          <w:rFonts w:hint="eastAsia" w:ascii="宋体" w:hAnsi="宋体"/>
          <w:sz w:val="28"/>
          <w:szCs w:val="28"/>
        </w:rPr>
        <w:t>：</w:t>
      </w:r>
    </w:p>
    <w:p>
      <w:pPr>
        <w:tabs>
          <w:tab w:val="left" w:pos="990"/>
        </w:tabs>
        <w:spacing w:line="360" w:lineRule="auto"/>
        <w:jc w:val="center"/>
        <w:rPr>
          <w:b/>
          <w:sz w:val="44"/>
        </w:rPr>
      </w:pPr>
      <w:r>
        <w:rPr>
          <w:rFonts w:hint="eastAsia"/>
          <w:b/>
          <w:sz w:val="44"/>
        </w:rPr>
        <w:t>投  标  书</w:t>
      </w:r>
    </w:p>
    <w:p>
      <w:pPr>
        <w:tabs>
          <w:tab w:val="left" w:pos="990"/>
        </w:tabs>
        <w:spacing w:line="360" w:lineRule="auto"/>
        <w:rPr>
          <w:b/>
          <w:bCs/>
          <w:sz w:val="28"/>
        </w:rPr>
      </w:pPr>
    </w:p>
    <w:p>
      <w:pPr>
        <w:tabs>
          <w:tab w:val="left" w:pos="990"/>
        </w:tabs>
        <w:spacing w:line="360" w:lineRule="auto"/>
        <w:rPr>
          <w:sz w:val="28"/>
        </w:rPr>
      </w:pPr>
      <w:r>
        <w:rPr>
          <w:rFonts w:hint="eastAsia"/>
          <w:sz w:val="28"/>
        </w:rPr>
        <w:t>致</w:t>
      </w:r>
      <w:r>
        <w:rPr>
          <w:rFonts w:hint="eastAsia"/>
          <w:sz w:val="28"/>
          <w:u w:val="single"/>
        </w:rPr>
        <w:t xml:space="preserve"> 厦门国贸物产有限公司 </w:t>
      </w:r>
      <w:r>
        <w:rPr>
          <w:rFonts w:hint="eastAsia"/>
          <w:sz w:val="28"/>
        </w:rPr>
        <w:t>：</w:t>
      </w:r>
    </w:p>
    <w:p>
      <w:pPr>
        <w:tabs>
          <w:tab w:val="left" w:pos="990"/>
        </w:tabs>
        <w:spacing w:line="360" w:lineRule="auto"/>
        <w:ind w:firstLine="570"/>
        <w:jc w:val="left"/>
        <w:rPr>
          <w:sz w:val="28"/>
        </w:rPr>
      </w:pPr>
      <w:r>
        <w:rPr>
          <w:rFonts w:hint="eastAsia"/>
          <w:sz w:val="28"/>
        </w:rPr>
        <w:t>一、根据已收到的厦门国贸物产有限公司</w:t>
      </w:r>
      <w:r>
        <w:rPr>
          <w:rFonts w:hint="eastAsia"/>
          <w:sz w:val="28"/>
          <w:u w:val="single"/>
        </w:rPr>
        <w:t xml:space="preserve"> SLEQ20211122                </w:t>
      </w:r>
      <w:r>
        <w:rPr>
          <w:rFonts w:hint="eastAsia"/>
          <w:sz w:val="28"/>
        </w:rPr>
        <w:t>招标文件，遵照有关规定，我司研究招标文件后，认可招标文件全部内容。愿意按照所附投标报价单报价，按招标文件的要求承担本次招标范围内的工作。</w:t>
      </w:r>
    </w:p>
    <w:p>
      <w:pPr>
        <w:tabs>
          <w:tab w:val="left" w:pos="990"/>
        </w:tabs>
        <w:spacing w:line="360" w:lineRule="auto"/>
        <w:ind w:firstLine="570"/>
        <w:rPr>
          <w:sz w:val="28"/>
        </w:rPr>
      </w:pPr>
      <w:r>
        <w:rPr>
          <w:rFonts w:hint="eastAsia"/>
          <w:sz w:val="28"/>
        </w:rPr>
        <w:t>二、我司保证在中标后按照招标人提出的要求，在规定的时间内完成项目。</w:t>
      </w:r>
    </w:p>
    <w:p>
      <w:pPr>
        <w:tabs>
          <w:tab w:val="left" w:pos="990"/>
        </w:tabs>
        <w:spacing w:line="360" w:lineRule="auto"/>
        <w:ind w:firstLine="570"/>
        <w:rPr>
          <w:sz w:val="28"/>
        </w:rPr>
      </w:pPr>
      <w:r>
        <w:rPr>
          <w:rFonts w:hint="eastAsia"/>
          <w:sz w:val="28"/>
        </w:rPr>
        <w:t>三、贵司的招标文件、中标通知书和本投标文件将作为合同的有效组成部分。</w:t>
      </w: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ind w:firstLine="570"/>
        <w:rPr>
          <w:sz w:val="28"/>
        </w:rPr>
      </w:pPr>
    </w:p>
    <w:p>
      <w:pPr>
        <w:tabs>
          <w:tab w:val="left" w:pos="990"/>
        </w:tabs>
        <w:spacing w:line="360" w:lineRule="auto"/>
        <w:rPr>
          <w:sz w:val="28"/>
        </w:rPr>
      </w:pPr>
      <w:r>
        <w:rPr>
          <w:rFonts w:hint="eastAsia"/>
          <w:sz w:val="28"/>
        </w:rPr>
        <w:t>投标人（盖法人公章）：</w:t>
      </w:r>
    </w:p>
    <w:p>
      <w:pPr>
        <w:tabs>
          <w:tab w:val="left" w:pos="990"/>
        </w:tabs>
        <w:spacing w:line="360" w:lineRule="auto"/>
        <w:rPr>
          <w:sz w:val="28"/>
          <w:u w:val="single"/>
        </w:rPr>
      </w:pPr>
      <w:r>
        <w:rPr>
          <w:rFonts w:hint="eastAsia"/>
          <w:sz w:val="28"/>
        </w:rPr>
        <w:t>法定代表人或代理人（签字或盖章）：</w:t>
      </w:r>
    </w:p>
    <w:p>
      <w:pPr>
        <w:tabs>
          <w:tab w:val="left" w:pos="990"/>
        </w:tabs>
        <w:spacing w:line="360" w:lineRule="auto"/>
        <w:rPr>
          <w:sz w:val="28"/>
        </w:rPr>
      </w:pPr>
    </w:p>
    <w:p>
      <w:pPr>
        <w:tabs>
          <w:tab w:val="left" w:pos="990"/>
        </w:tabs>
        <w:spacing w:line="360" w:lineRule="auto"/>
        <w:rPr>
          <w:sz w:val="28"/>
        </w:rPr>
      </w:pPr>
    </w:p>
    <w:p>
      <w:pPr>
        <w:tabs>
          <w:tab w:val="left" w:pos="990"/>
        </w:tabs>
        <w:spacing w:line="360" w:lineRule="auto"/>
        <w:ind w:firstLine="6440" w:firstLineChars="2300"/>
        <w:rPr>
          <w:sz w:val="28"/>
        </w:rPr>
      </w:pPr>
      <w:r>
        <w:rPr>
          <w:rFonts w:hint="eastAsia"/>
          <w:sz w:val="28"/>
        </w:rPr>
        <w:t>年   月   日</w:t>
      </w:r>
    </w:p>
    <w:p>
      <w:pPr>
        <w:widowControl/>
        <w:jc w:val="left"/>
        <w:rPr>
          <w:rFonts w:ascii="宋体" w:hAnsi="宋体"/>
          <w:b/>
          <w:sz w:val="28"/>
          <w:szCs w:val="28"/>
        </w:rPr>
      </w:pPr>
      <w:r>
        <w:rPr>
          <w:rFonts w:ascii="宋体" w:hAnsi="宋体"/>
          <w:b/>
          <w:sz w:val="28"/>
          <w:szCs w:val="28"/>
        </w:rPr>
        <w:br w:type="page"/>
      </w:r>
    </w:p>
    <w:p>
      <w:pPr>
        <w:tabs>
          <w:tab w:val="left" w:pos="990"/>
        </w:tabs>
        <w:spacing w:line="360" w:lineRule="auto"/>
        <w:jc w:val="center"/>
        <w:rPr>
          <w:sz w:val="28"/>
        </w:rPr>
      </w:pPr>
      <w:r>
        <w:rPr>
          <w:rFonts w:hint="eastAsia" w:ascii="宋体" w:hAnsi="宋体"/>
          <w:b/>
          <w:sz w:val="28"/>
          <w:szCs w:val="28"/>
        </w:rPr>
        <w:t>附录</w:t>
      </w:r>
      <w:r>
        <w:rPr>
          <w:rFonts w:hint="eastAsia" w:ascii="Times New Roman" w:hAnsi="Times New Roman"/>
          <w:sz w:val="28"/>
          <w:szCs w:val="28"/>
        </w:rPr>
        <w:t>C</w:t>
      </w:r>
      <w:r>
        <w:rPr>
          <w:rFonts w:hint="eastAsia" w:ascii="宋体" w:hAnsi="宋体"/>
          <w:sz w:val="28"/>
          <w:szCs w:val="28"/>
        </w:rPr>
        <w:t>：</w:t>
      </w:r>
    </w:p>
    <w:p>
      <w:pPr>
        <w:tabs>
          <w:tab w:val="left" w:pos="990"/>
        </w:tabs>
        <w:spacing w:line="360" w:lineRule="auto"/>
        <w:jc w:val="center"/>
        <w:rPr>
          <w:b/>
          <w:sz w:val="44"/>
        </w:rPr>
      </w:pPr>
      <w:r>
        <w:rPr>
          <w:rFonts w:hint="eastAsia"/>
          <w:b/>
          <w:sz w:val="44"/>
        </w:rPr>
        <w:t>授 权 委 托 书</w:t>
      </w:r>
    </w:p>
    <w:p>
      <w:pPr>
        <w:tabs>
          <w:tab w:val="left" w:pos="990"/>
        </w:tabs>
        <w:spacing w:line="360" w:lineRule="auto"/>
        <w:rPr>
          <w:sz w:val="28"/>
        </w:rPr>
      </w:pPr>
      <w:r>
        <w:rPr>
          <w:rFonts w:hint="eastAsia"/>
          <w:sz w:val="28"/>
        </w:rPr>
        <w:t xml:space="preserve"> </w:t>
      </w:r>
    </w:p>
    <w:p>
      <w:pPr>
        <w:tabs>
          <w:tab w:val="left" w:pos="990"/>
        </w:tabs>
        <w:spacing w:line="360" w:lineRule="auto"/>
        <w:ind w:firstLine="570"/>
        <w:rPr>
          <w:sz w:val="28"/>
          <w:u w:val="single"/>
        </w:rPr>
      </w:pPr>
      <w:r>
        <w:rPr>
          <w:rFonts w:hint="eastAsia"/>
          <w:sz w:val="28"/>
        </w:rPr>
        <w:t>本授权委托书声明：我</w:t>
      </w:r>
      <w:r>
        <w:rPr>
          <w:rFonts w:hint="eastAsia"/>
          <w:sz w:val="28"/>
          <w:u w:val="single"/>
        </w:rPr>
        <w:t xml:space="preserve">            </w:t>
      </w:r>
      <w:r>
        <w:rPr>
          <w:rFonts w:hint="eastAsia"/>
          <w:sz w:val="28"/>
        </w:rPr>
        <w:t>（姓名），系</w:t>
      </w:r>
      <w:r>
        <w:rPr>
          <w:rFonts w:hint="eastAsia"/>
          <w:sz w:val="28"/>
          <w:u w:val="single"/>
        </w:rPr>
        <w:t xml:space="preserve">           </w:t>
      </w:r>
    </w:p>
    <w:p>
      <w:pPr>
        <w:tabs>
          <w:tab w:val="left" w:pos="990"/>
        </w:tabs>
        <w:spacing w:line="360" w:lineRule="auto"/>
        <w:rPr>
          <w:sz w:val="28"/>
        </w:rPr>
      </w:pPr>
      <w:r>
        <w:rPr>
          <w:rFonts w:hint="eastAsia"/>
          <w:sz w:val="28"/>
          <w:u w:val="single"/>
        </w:rPr>
        <w:t xml:space="preserve">                           </w:t>
      </w:r>
      <w:r>
        <w:rPr>
          <w:rFonts w:hint="eastAsia"/>
          <w:sz w:val="28"/>
        </w:rPr>
        <w:t>（投标人名称）的法定代表人，现授权委托</w:t>
      </w:r>
      <w:r>
        <w:rPr>
          <w:rFonts w:hint="eastAsia"/>
          <w:sz w:val="28"/>
          <w:u w:val="single"/>
        </w:rPr>
        <w:t xml:space="preserve">         </w:t>
      </w:r>
      <w:r>
        <w:rPr>
          <w:rFonts w:hint="eastAsia"/>
          <w:sz w:val="28"/>
        </w:rPr>
        <w:t>（姓名）为本公司的代理人，以本公司的名义参加厦门国贸物产有限公司的投标。代理人所签署的一切文件和处置与之有关的一切事务，我们均予以承认。</w:t>
      </w:r>
    </w:p>
    <w:p>
      <w:pPr>
        <w:tabs>
          <w:tab w:val="left" w:pos="990"/>
        </w:tabs>
        <w:spacing w:line="360" w:lineRule="auto"/>
        <w:ind w:firstLine="570"/>
        <w:rPr>
          <w:sz w:val="28"/>
        </w:rPr>
      </w:pPr>
      <w:r>
        <w:rPr>
          <w:rFonts w:hint="eastAsia"/>
          <w:sz w:val="28"/>
        </w:rPr>
        <w:t>授权委托人无转委权，特此委托。</w:t>
      </w:r>
    </w:p>
    <w:p>
      <w:pPr>
        <w:tabs>
          <w:tab w:val="left" w:pos="990"/>
        </w:tabs>
        <w:spacing w:line="360" w:lineRule="auto"/>
        <w:rPr>
          <w:sz w:val="28"/>
        </w:rPr>
      </w:pPr>
    </w:p>
    <w:p>
      <w:pPr>
        <w:tabs>
          <w:tab w:val="left" w:pos="990"/>
        </w:tabs>
        <w:spacing w:line="360" w:lineRule="auto"/>
        <w:rPr>
          <w:sz w:val="28"/>
          <w:u w:val="single"/>
        </w:rPr>
      </w:pPr>
      <w:r>
        <w:rPr>
          <w:rFonts w:hint="eastAsia"/>
          <w:sz w:val="28"/>
        </w:rPr>
        <w:t>代理人：</w:t>
      </w:r>
      <w:r>
        <w:rPr>
          <w:rFonts w:hint="eastAsia"/>
          <w:sz w:val="28"/>
          <w:u w:val="single"/>
        </w:rPr>
        <w:t xml:space="preserve">          </w:t>
      </w:r>
      <w:r>
        <w:rPr>
          <w:rFonts w:hint="eastAsia"/>
          <w:sz w:val="28"/>
        </w:rPr>
        <w:t>性别：</w:t>
      </w:r>
      <w:r>
        <w:rPr>
          <w:rFonts w:hint="eastAsia"/>
          <w:sz w:val="28"/>
          <w:u w:val="single"/>
        </w:rPr>
        <w:t xml:space="preserve">     </w:t>
      </w:r>
      <w:r>
        <w:rPr>
          <w:rFonts w:hint="eastAsia"/>
          <w:sz w:val="28"/>
        </w:rPr>
        <w:t xml:space="preserve"> 身份证号码</w:t>
      </w:r>
      <w:r>
        <w:rPr>
          <w:rFonts w:hint="eastAsia"/>
          <w:sz w:val="28"/>
          <w:u w:val="single"/>
        </w:rPr>
        <w:t xml:space="preserve">                    </w:t>
      </w:r>
    </w:p>
    <w:p>
      <w:pPr>
        <w:tabs>
          <w:tab w:val="left" w:pos="990"/>
        </w:tabs>
        <w:spacing w:line="360" w:lineRule="auto"/>
        <w:rPr>
          <w:sz w:val="28"/>
          <w:u w:val="single"/>
        </w:rPr>
      </w:pPr>
      <w:r>
        <w:rPr>
          <w:rFonts w:hint="eastAsia"/>
          <w:sz w:val="28"/>
        </w:rPr>
        <w:t>公司：</w:t>
      </w:r>
      <w:r>
        <w:rPr>
          <w:rFonts w:hint="eastAsia"/>
          <w:sz w:val="28"/>
          <w:u w:val="single"/>
        </w:rPr>
        <w:t xml:space="preserve">                   </w:t>
      </w:r>
      <w:r>
        <w:rPr>
          <w:rFonts w:hint="eastAsia"/>
          <w:sz w:val="28"/>
        </w:rPr>
        <w:t xml:space="preserve"> 部门：</w:t>
      </w:r>
      <w:r>
        <w:rPr>
          <w:rFonts w:hint="eastAsia"/>
          <w:sz w:val="28"/>
          <w:u w:val="single"/>
        </w:rPr>
        <w:t xml:space="preserve">           </w:t>
      </w:r>
      <w:r>
        <w:rPr>
          <w:rFonts w:hint="eastAsia"/>
          <w:sz w:val="28"/>
        </w:rPr>
        <w:t xml:space="preserve"> 职务</w:t>
      </w:r>
      <w:r>
        <w:rPr>
          <w:rFonts w:hint="eastAsia"/>
          <w:sz w:val="28"/>
          <w:u w:val="single"/>
        </w:rPr>
        <w:t xml:space="preserve">：          </w:t>
      </w:r>
    </w:p>
    <w:p>
      <w:pPr>
        <w:tabs>
          <w:tab w:val="left" w:pos="990"/>
        </w:tabs>
        <w:spacing w:line="360" w:lineRule="auto"/>
        <w:rPr>
          <w:sz w:val="28"/>
          <w:u w:val="single"/>
        </w:rPr>
      </w:pPr>
      <w:r>
        <w:rPr>
          <w:rFonts w:hint="eastAsia"/>
          <w:sz w:val="28"/>
        </w:rPr>
        <w:t>投标人：（盖法人公章）</w:t>
      </w:r>
      <w:r>
        <w:rPr>
          <w:rFonts w:hint="eastAsia"/>
          <w:sz w:val="28"/>
          <w:u w:val="single"/>
        </w:rPr>
        <w:t xml:space="preserve">                              </w:t>
      </w:r>
    </w:p>
    <w:p>
      <w:pPr>
        <w:tabs>
          <w:tab w:val="left" w:pos="990"/>
        </w:tabs>
        <w:spacing w:line="360" w:lineRule="auto"/>
        <w:rPr>
          <w:sz w:val="28"/>
          <w:u w:val="single"/>
        </w:rPr>
      </w:pPr>
      <w:r>
        <w:rPr>
          <w:rFonts w:hint="eastAsia"/>
          <w:sz w:val="28"/>
        </w:rPr>
        <w:t>法定代表人（签字）：</w:t>
      </w:r>
      <w:r>
        <w:rPr>
          <w:rFonts w:hint="eastAsia"/>
          <w:sz w:val="28"/>
          <w:u w:val="single"/>
        </w:rPr>
        <w:t xml:space="preserve">             </w:t>
      </w:r>
    </w:p>
    <w:p>
      <w:pPr>
        <w:tabs>
          <w:tab w:val="left" w:pos="990"/>
        </w:tabs>
        <w:spacing w:line="360" w:lineRule="auto"/>
        <w:rPr>
          <w:sz w:val="28"/>
        </w:rPr>
      </w:pPr>
      <w:r>
        <w:rPr>
          <w:rFonts w:hint="eastAsia"/>
          <w:sz w:val="28"/>
        </w:rPr>
        <w:t>代理人（签字）：</w:t>
      </w:r>
      <w:r>
        <w:rPr>
          <w:rFonts w:hint="eastAsia"/>
          <w:sz w:val="28"/>
          <w:u w:val="single"/>
        </w:rPr>
        <w:t xml:space="preserve">          </w:t>
      </w:r>
    </w:p>
    <w:p>
      <w:pPr>
        <w:tabs>
          <w:tab w:val="left" w:pos="990"/>
        </w:tabs>
        <w:spacing w:line="360" w:lineRule="auto"/>
        <w:rPr>
          <w:sz w:val="28"/>
        </w:rPr>
      </w:pPr>
    </w:p>
    <w:p>
      <w:pPr>
        <w:tabs>
          <w:tab w:val="left" w:pos="990"/>
        </w:tabs>
        <w:spacing w:line="360" w:lineRule="auto"/>
      </w:pPr>
      <w:r>
        <w:rPr>
          <w:rFonts w:hint="eastAsia"/>
          <w:sz w:val="28"/>
        </w:rPr>
        <w:t xml:space="preserve">                                                 年  月  日</w:t>
      </w:r>
    </w:p>
    <w:p>
      <w:pPr>
        <w:tabs>
          <w:tab w:val="left" w:pos="990"/>
        </w:tabs>
        <w:spacing w:line="360" w:lineRule="auto"/>
        <w:ind w:firstLine="975"/>
      </w:pPr>
    </w:p>
    <w:p>
      <w:pPr>
        <w:tabs>
          <w:tab w:val="left" w:pos="990"/>
        </w:tabs>
        <w:spacing w:line="360" w:lineRule="auto"/>
        <w:ind w:firstLine="975"/>
      </w:pPr>
      <w:r>
        <w:rPr>
          <w:rFonts w:hint="eastAsia"/>
        </w:rPr>
        <w:t>授权委托代理人</w:t>
      </w:r>
    </w:p>
    <w:p>
      <w:pPr>
        <w:tabs>
          <w:tab w:val="left" w:pos="990"/>
        </w:tabs>
        <w:spacing w:line="360" w:lineRule="auto"/>
        <w:ind w:firstLine="630" w:firstLineChars="300"/>
      </w:pPr>
      <w:r>
        <w:rPr>
          <w:rFonts w:hint="eastAsia"/>
        </w:rPr>
        <w:t>身份证复印件粘贴处</w:t>
      </w:r>
    </w:p>
    <w:p>
      <w:pPr>
        <w:widowControl/>
        <w:jc w:val="left"/>
        <w:rPr>
          <w:rFonts w:hAnsi="宋体"/>
          <w:sz w:val="30"/>
          <w:szCs w:val="30"/>
        </w:rPr>
      </w:pPr>
      <w:r>
        <w:rPr>
          <w:rFonts w:hAnsi="宋体"/>
          <w:sz w:val="30"/>
          <w:szCs w:val="30"/>
        </w:rPr>
        <w:br w:type="page"/>
      </w:r>
    </w:p>
    <w:p>
      <w:pPr>
        <w:tabs>
          <w:tab w:val="left" w:pos="990"/>
        </w:tabs>
        <w:spacing w:line="360" w:lineRule="auto"/>
        <w:jc w:val="center"/>
        <w:rPr>
          <w:rFonts w:ascii="宋体" w:hAnsi="宋体"/>
          <w:b/>
          <w:sz w:val="28"/>
          <w:szCs w:val="28"/>
        </w:rPr>
      </w:pPr>
      <w:bookmarkStart w:id="0" w:name="_Hlk86868205"/>
      <w:r>
        <w:rPr>
          <w:rFonts w:hint="eastAsia" w:ascii="宋体" w:hAnsi="宋体"/>
          <w:b/>
          <w:sz w:val="28"/>
          <w:szCs w:val="28"/>
        </w:rPr>
        <w:t>附录D：</w:t>
      </w:r>
    </w:p>
    <w:p>
      <w:pPr>
        <w:pStyle w:val="16"/>
        <w:snapToGrid w:val="0"/>
        <w:jc w:val="center"/>
        <w:rPr>
          <w:rFonts w:ascii="华文中宋" w:hAnsi="华文中宋" w:eastAsia="华文中宋"/>
          <w:sz w:val="36"/>
          <w:szCs w:val="36"/>
        </w:rPr>
      </w:pPr>
      <w:r>
        <w:rPr>
          <w:rFonts w:hint="eastAsia" w:ascii="宋体" w:hAnsi="宋体" w:cs="宋体"/>
          <w:b/>
          <w:bCs/>
          <w:sz w:val="36"/>
          <w:szCs w:val="36"/>
        </w:rPr>
        <w:t>不参与围标串标承诺书</w:t>
      </w:r>
    </w:p>
    <w:bookmarkEnd w:id="0"/>
    <w:p>
      <w:pPr>
        <w:pStyle w:val="16"/>
        <w:snapToGrid w:val="0"/>
        <w:jc w:val="left"/>
        <w:rPr>
          <w:rFonts w:ascii="仿宋_GB2312" w:hAnsi="华文中宋" w:eastAsia="仿宋_GB2312"/>
          <w:sz w:val="24"/>
        </w:rPr>
      </w:pP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本人作为</w:t>
      </w:r>
      <w:r>
        <w:rPr>
          <w:rFonts w:hint="eastAsia" w:ascii="仿宋" w:hAnsi="仿宋" w:eastAsia="仿宋" w:cs="仿宋"/>
          <w:sz w:val="32"/>
          <w:szCs w:val="32"/>
          <w:u w:val="single"/>
        </w:rPr>
        <w:t xml:space="preserve">（单位名称）                    </w:t>
      </w:r>
      <w:r>
        <w:rPr>
          <w:rFonts w:hint="eastAsia" w:ascii="仿宋" w:hAnsi="仿宋" w:eastAsia="仿宋" w:cs="仿宋"/>
          <w:sz w:val="32"/>
          <w:szCs w:val="32"/>
        </w:rPr>
        <w:t>的法人，清楚知晓我公司本项目投标活动，对以下事项作出承诺：</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一、我单位遵循公开、公平、公正、诚实守信的原则，依法依规参与本项目竞标。</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二、我单位在本项目招标投标活动中，未参与围标串标。</w:t>
      </w:r>
    </w:p>
    <w:p>
      <w:pPr>
        <w:pStyle w:val="16"/>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三、我单位如被查实在本项目招标投标活动中存在围标串标的，递交投标文件行为作为实施串通投标违法行为的关键环节，本人承担直接责任人员法律责任，接受相应行政处罚和失信惩戒。</w:t>
      </w:r>
    </w:p>
    <w:p>
      <w:pPr>
        <w:pStyle w:val="16"/>
        <w:snapToGrid w:val="0"/>
        <w:rPr>
          <w:rFonts w:ascii="仿宋" w:hAnsi="仿宋" w:eastAsia="仿宋"/>
          <w:sz w:val="32"/>
          <w:szCs w:val="32"/>
        </w:rPr>
      </w:pPr>
    </w:p>
    <w:p>
      <w:pPr>
        <w:pStyle w:val="16"/>
        <w:snapToGrid w:val="0"/>
        <w:rPr>
          <w:rFonts w:ascii="仿宋" w:hAnsi="仿宋" w:eastAsia="仿宋"/>
          <w:sz w:val="32"/>
          <w:szCs w:val="32"/>
        </w:rPr>
      </w:pPr>
      <w:r>
        <w:rPr>
          <w:rFonts w:hint="eastAsia" w:ascii="仿宋" w:hAnsi="仿宋" w:eastAsia="仿宋"/>
          <w:sz w:val="32"/>
          <w:szCs w:val="32"/>
        </w:rPr>
        <w:t>项目编号</w:t>
      </w:r>
      <w:r>
        <w:rPr>
          <w:rFonts w:ascii="仿宋" w:hAnsi="仿宋" w:eastAsia="仿宋"/>
          <w:sz w:val="32"/>
          <w:szCs w:val="32"/>
        </w:rPr>
        <w:t>：</w:t>
      </w:r>
      <w:r>
        <w:rPr>
          <w:rFonts w:hint="eastAsia" w:ascii="仿宋" w:hAnsi="仿宋" w:eastAsia="仿宋"/>
          <w:sz w:val="32"/>
          <w:szCs w:val="32"/>
        </w:rPr>
        <w:t>SLEQ20211122</w:t>
      </w:r>
      <w:r>
        <w:rPr>
          <w:rFonts w:ascii="仿宋" w:hAnsi="仿宋" w:eastAsia="仿宋"/>
          <w:sz w:val="32"/>
          <w:szCs w:val="32"/>
        </w:rPr>
        <w:t xml:space="preserve">   </w:t>
      </w:r>
    </w:p>
    <w:p>
      <w:pPr>
        <w:pStyle w:val="16"/>
        <w:snapToGrid w:val="0"/>
        <w:rPr>
          <w:rFonts w:ascii="仿宋_GB2312" w:hAnsi="华文中宋" w:eastAsia="仿宋_GB2312"/>
          <w:sz w:val="32"/>
          <w:szCs w:val="32"/>
        </w:rPr>
      </w:pPr>
      <w:r>
        <w:rPr>
          <w:rFonts w:hint="eastAsia" w:ascii="仿宋_GB2312" w:hAnsi="华文中宋" w:eastAsia="仿宋_GB2312"/>
          <w:sz w:val="32"/>
          <w:szCs w:val="32"/>
        </w:rPr>
        <w:t>投标单位名称：</w:t>
      </w:r>
    </w:p>
    <w:p>
      <w:pPr>
        <w:pStyle w:val="16"/>
        <w:snapToGrid w:val="0"/>
        <w:rPr>
          <w:rFonts w:ascii="仿宋_GB2312" w:hAnsi="华文中宋" w:eastAsia="仿宋_GB2312"/>
          <w:sz w:val="32"/>
          <w:szCs w:val="32"/>
        </w:rPr>
      </w:pPr>
      <w:r>
        <w:rPr>
          <w:rFonts w:hint="eastAsia" w:ascii="仿宋_GB2312" w:hAnsi="华文中宋" w:eastAsia="仿宋_GB2312"/>
          <w:sz w:val="32"/>
          <w:szCs w:val="32"/>
        </w:rPr>
        <w:t>投</w:t>
      </w:r>
      <w:r>
        <w:rPr>
          <w:rFonts w:ascii="仿宋_GB2312" w:hAnsi="华文中宋" w:eastAsia="仿宋_GB2312"/>
          <w:sz w:val="32"/>
          <w:szCs w:val="32"/>
        </w:rPr>
        <w:t>标</w:t>
      </w:r>
      <w:r>
        <w:rPr>
          <w:rFonts w:hint="eastAsia" w:ascii="仿宋_GB2312" w:hAnsi="华文中宋" w:eastAsia="仿宋_GB2312"/>
          <w:sz w:val="32"/>
          <w:szCs w:val="32"/>
        </w:rPr>
        <w:t>单位法人签名：</w:t>
      </w:r>
    </w:p>
    <w:p>
      <w:pPr>
        <w:pStyle w:val="16"/>
        <w:snapToGrid w:val="0"/>
        <w:jc w:val="left"/>
        <w:rPr>
          <w:rFonts w:ascii="仿宋_GB2312" w:hAnsi="华文中宋" w:eastAsia="仿宋_GB2312"/>
          <w:sz w:val="32"/>
          <w:szCs w:val="32"/>
        </w:rPr>
      </w:pPr>
      <w:r>
        <w:rPr>
          <w:rFonts w:hint="eastAsia" w:ascii="仿宋_GB2312" w:hAnsi="华文中宋" w:eastAsia="仿宋_GB2312"/>
          <w:sz w:val="32"/>
          <w:szCs w:val="32"/>
        </w:rPr>
        <w:t xml:space="preserve">                                  </w:t>
      </w:r>
    </w:p>
    <w:p>
      <w:pPr>
        <w:pStyle w:val="16"/>
        <w:snapToGrid w:val="0"/>
        <w:jc w:val="left"/>
        <w:rPr>
          <w:rFonts w:ascii="仿宋_GB2312" w:hAnsi="华文中宋" w:eastAsia="仿宋_GB2312"/>
          <w:sz w:val="32"/>
          <w:szCs w:val="32"/>
        </w:rPr>
      </w:pPr>
    </w:p>
    <w:p>
      <w:pPr>
        <w:pStyle w:val="16"/>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盖  章</w:t>
      </w:r>
    </w:p>
    <w:p>
      <w:pPr>
        <w:pStyle w:val="16"/>
        <w:snapToGrid w:val="0"/>
        <w:ind w:firstLine="5760" w:firstLineChars="1800"/>
        <w:jc w:val="left"/>
        <w:rPr>
          <w:rFonts w:ascii="仿宋_GB2312" w:hAnsi="华文中宋" w:eastAsia="仿宋_GB2312"/>
          <w:sz w:val="32"/>
          <w:szCs w:val="32"/>
        </w:rPr>
      </w:pPr>
      <w:r>
        <w:rPr>
          <w:rFonts w:hint="eastAsia" w:ascii="仿宋_GB2312" w:hAnsi="华文中宋" w:eastAsia="仿宋_GB2312"/>
          <w:sz w:val="32"/>
          <w:szCs w:val="32"/>
        </w:rPr>
        <w:t xml:space="preserve"> 年   月   日</w:t>
      </w:r>
    </w:p>
    <w:p>
      <w:pPr>
        <w:widowControl/>
        <w:jc w:val="left"/>
        <w:rPr>
          <w:rFonts w:hAnsi="宋体"/>
          <w:sz w:val="30"/>
          <w:szCs w:val="30"/>
        </w:rPr>
      </w:pPr>
      <w:r>
        <w:rPr>
          <w:rFonts w:hAnsi="宋体"/>
          <w:sz w:val="30"/>
          <w:szCs w:val="30"/>
        </w:rPr>
        <w:br w:type="page"/>
      </w:r>
    </w:p>
    <w:p>
      <w:pPr>
        <w:tabs>
          <w:tab w:val="left" w:pos="990"/>
        </w:tabs>
        <w:spacing w:line="360" w:lineRule="auto"/>
        <w:jc w:val="center"/>
        <w:rPr>
          <w:rFonts w:ascii="宋体" w:hAnsi="宋体"/>
          <w:b/>
          <w:sz w:val="28"/>
          <w:szCs w:val="28"/>
        </w:rPr>
      </w:pPr>
      <w:r>
        <w:rPr>
          <w:rFonts w:hint="eastAsia" w:ascii="宋体" w:hAnsi="宋体"/>
          <w:b/>
          <w:sz w:val="28"/>
          <w:szCs w:val="28"/>
        </w:rPr>
        <w:t>附录E：</w:t>
      </w:r>
    </w:p>
    <w:p>
      <w:pPr>
        <w:pStyle w:val="16"/>
        <w:snapToGrid w:val="0"/>
        <w:jc w:val="center"/>
        <w:rPr>
          <w:rFonts w:ascii="华文中宋" w:hAnsi="华文中宋" w:eastAsia="华文中宋"/>
          <w:sz w:val="36"/>
          <w:szCs w:val="36"/>
        </w:rPr>
      </w:pPr>
      <w:bookmarkStart w:id="1" w:name="_Hlk86868259"/>
      <w:r>
        <w:rPr>
          <w:rFonts w:hint="eastAsia" w:ascii="宋体" w:hAnsi="宋体" w:cs="宋体"/>
          <w:b/>
          <w:bCs/>
          <w:sz w:val="36"/>
          <w:szCs w:val="36"/>
        </w:rPr>
        <w:t>反商业贿赂承诺书</w:t>
      </w:r>
    </w:p>
    <w:bookmarkEnd w:id="1"/>
    <w:p>
      <w:pPr>
        <w:pStyle w:val="16"/>
        <w:snapToGrid w:val="0"/>
        <w:jc w:val="left"/>
        <w:rPr>
          <w:rFonts w:ascii="仿宋_GB2312" w:hAnsi="华文中宋" w:eastAsia="仿宋_GB2312"/>
          <w:sz w:val="24"/>
        </w:rPr>
      </w:pP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我司郑重承诺：</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在</w:t>
      </w:r>
      <w:r>
        <w:rPr>
          <w:rFonts w:hint="eastAsia" w:ascii="仿宋" w:hAnsi="仿宋" w:eastAsia="仿宋" w:cs="仿宋"/>
          <w:sz w:val="32"/>
          <w:szCs w:val="32"/>
          <w:u w:val="single"/>
        </w:rPr>
        <w:t>厦门国贸物产有限公司轮胎厂扩产项目模具采购</w:t>
      </w:r>
      <w:r>
        <w:rPr>
          <w:rFonts w:hint="eastAsia" w:ascii="仿宋" w:hAnsi="仿宋" w:eastAsia="仿宋" w:cs="仿宋"/>
          <w:sz w:val="32"/>
          <w:szCs w:val="32"/>
        </w:rPr>
        <w:t>招标活动中，我公司及员工保证做到：</w:t>
      </w:r>
      <w:r>
        <w:rPr>
          <w:rFonts w:ascii="仿宋" w:hAnsi="仿宋" w:eastAsia="仿宋" w:cs="仿宋"/>
          <w:sz w:val="32"/>
          <w:szCs w:val="32"/>
        </w:rPr>
        <w:t xml:space="preserve">              </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一、遵循公开、公平、公正、诚实守信的原则，依法依规参与本项目竞标。</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二、杜绝任何形式的商业贿赂行为。不向贵公司工作人员（包括但不限于领导、采购主管、评审小组）及其亲属提供礼品礼金、有价证券、购物券、回扣、佣金、咨询费、劳务费、赞助费、宣传费、宴请等；不为其报销各种消费凭证，不支付其旅游、娱乐等各种费用。</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三、同意按贵公司规定缴纳投标保证金，作为遵守国家法律、法规以及贵公司招议标、廉政规定和诚信约定的保证金，中标后自动转为履约保证金，不足部分由我司以现金方式补足，未中标且无违规行为，投标保证金无息退还。并承诺有下列情况时投标保证金将被没收：</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（1）投标人代表未出席（视频）投标会或开标时被三次提名而无投标代表应答的（自动弃权）；</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（2）递交的投标文件和资质文件中有虚假内容的；</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（3）违反招标法及贵公司反商业贿赂规定的；</w:t>
      </w:r>
    </w:p>
    <w:p>
      <w:pPr>
        <w:pStyle w:val="16"/>
        <w:snapToGrid w:val="0"/>
        <w:ind w:firstLine="640" w:firstLineChars="200"/>
        <w:rPr>
          <w:rFonts w:ascii="仿宋" w:hAnsi="仿宋" w:eastAsia="仿宋" w:cs="仿宋"/>
          <w:sz w:val="32"/>
          <w:szCs w:val="32"/>
        </w:rPr>
      </w:pPr>
      <w:r>
        <w:rPr>
          <w:rFonts w:hint="eastAsia" w:ascii="仿宋" w:hAnsi="仿宋" w:eastAsia="仿宋" w:cs="仿宋"/>
          <w:sz w:val="32"/>
          <w:szCs w:val="32"/>
        </w:rPr>
        <w:t>（4）中标后未在规定期限内签订中标合同的；</w:t>
      </w:r>
    </w:p>
    <w:p>
      <w:pPr>
        <w:pStyle w:val="16"/>
        <w:snapToGrid w:val="0"/>
        <w:ind w:firstLine="640" w:firstLineChars="200"/>
        <w:rPr>
          <w:rFonts w:ascii="仿宋_GB2312" w:hAnsi="华文中宋" w:eastAsia="仿宋_GB2312"/>
          <w:b/>
          <w:sz w:val="32"/>
          <w:szCs w:val="32"/>
        </w:rPr>
      </w:pPr>
      <w:r>
        <w:rPr>
          <w:rFonts w:hint="eastAsia" w:ascii="仿宋" w:hAnsi="仿宋" w:eastAsia="仿宋" w:cs="仿宋"/>
          <w:sz w:val="32"/>
          <w:szCs w:val="32"/>
        </w:rPr>
        <w:t>四、若出现上述行为，我公司及参与投标的工作人员愿意接受国家法律、法规给予的处罚。</w:t>
      </w:r>
    </w:p>
    <w:p>
      <w:pPr>
        <w:pStyle w:val="16"/>
        <w:snapToGrid w:val="0"/>
        <w:jc w:val="left"/>
        <w:rPr>
          <w:rFonts w:ascii="仿宋_GB2312" w:hAnsi="华文中宋" w:eastAsia="仿宋_GB2312"/>
          <w:sz w:val="32"/>
          <w:szCs w:val="32"/>
        </w:rPr>
      </w:pPr>
    </w:p>
    <w:p>
      <w:pPr>
        <w:pStyle w:val="16"/>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投标人单位名称：</w:t>
      </w:r>
    </w:p>
    <w:p>
      <w:pPr>
        <w:pStyle w:val="16"/>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投标人法人签名：</w:t>
      </w:r>
    </w:p>
    <w:p>
      <w:pPr>
        <w:pStyle w:val="16"/>
        <w:snapToGrid w:val="0"/>
        <w:spacing w:line="360" w:lineRule="auto"/>
        <w:jc w:val="left"/>
        <w:rPr>
          <w:rFonts w:ascii="仿宋_GB2312" w:hAnsi="华文中宋" w:eastAsia="仿宋_GB2312"/>
          <w:sz w:val="32"/>
          <w:szCs w:val="32"/>
        </w:rPr>
      </w:pPr>
      <w:r>
        <w:rPr>
          <w:rFonts w:hint="eastAsia" w:ascii="仿宋_GB2312" w:hAnsi="华文中宋" w:eastAsia="仿宋_GB2312"/>
          <w:sz w:val="32"/>
          <w:szCs w:val="32"/>
        </w:rPr>
        <w:t>投标经办人签名：</w:t>
      </w:r>
    </w:p>
    <w:p>
      <w:pPr>
        <w:pStyle w:val="16"/>
        <w:snapToGrid w:val="0"/>
        <w:ind w:firstLine="5440" w:firstLineChars="1700"/>
        <w:jc w:val="left"/>
        <w:rPr>
          <w:rFonts w:ascii="仿宋_GB2312" w:hAnsi="华文中宋" w:eastAsia="仿宋_GB2312"/>
          <w:sz w:val="32"/>
          <w:szCs w:val="32"/>
        </w:rPr>
      </w:pPr>
      <w:r>
        <w:rPr>
          <w:rFonts w:hint="eastAsia" w:ascii="仿宋_GB2312" w:hAnsi="华文中宋" w:eastAsia="仿宋_GB2312"/>
          <w:sz w:val="32"/>
          <w:szCs w:val="32"/>
        </w:rPr>
        <w:t xml:space="preserve">     </w:t>
      </w:r>
      <w:r>
        <w:rPr>
          <w:rFonts w:ascii="仿宋_GB2312" w:hAnsi="华文中宋" w:eastAsia="仿宋_GB2312"/>
          <w:sz w:val="32"/>
          <w:szCs w:val="32"/>
        </w:rPr>
        <w:t xml:space="preserve"> </w:t>
      </w:r>
      <w:r>
        <w:rPr>
          <w:rFonts w:hint="eastAsia" w:ascii="仿宋_GB2312" w:hAnsi="华文中宋" w:eastAsia="仿宋_GB2312"/>
          <w:sz w:val="32"/>
          <w:szCs w:val="32"/>
        </w:rPr>
        <w:t>盖  章</w:t>
      </w:r>
    </w:p>
    <w:p>
      <w:pPr>
        <w:pStyle w:val="16"/>
        <w:snapToGrid w:val="0"/>
        <w:ind w:firstLine="5760" w:firstLineChars="1800"/>
        <w:jc w:val="left"/>
      </w:pPr>
      <w:r>
        <w:rPr>
          <w:rFonts w:hint="eastAsia" w:ascii="仿宋_GB2312" w:hAnsi="华文中宋" w:eastAsia="仿宋_GB2312"/>
          <w:sz w:val="32"/>
          <w:szCs w:val="32"/>
        </w:rPr>
        <w:t xml:space="preserve"> 年   月   日</w:t>
      </w:r>
      <w:r>
        <w:br w:type="page"/>
      </w:r>
    </w:p>
    <w:p>
      <w:pPr>
        <w:tabs>
          <w:tab w:val="left" w:pos="990"/>
        </w:tabs>
        <w:spacing w:line="360" w:lineRule="auto"/>
        <w:jc w:val="center"/>
        <w:rPr>
          <w:rFonts w:ascii="宋体" w:hAnsi="宋体"/>
          <w:b/>
          <w:sz w:val="28"/>
          <w:szCs w:val="28"/>
        </w:rPr>
      </w:pPr>
      <w:r>
        <w:rPr>
          <w:rFonts w:hint="eastAsia" w:ascii="宋体" w:hAnsi="宋体"/>
          <w:b/>
          <w:sz w:val="28"/>
          <w:szCs w:val="28"/>
        </w:rPr>
        <w:t>附录F</w:t>
      </w:r>
    </w:p>
    <w:p>
      <w:pPr>
        <w:spacing w:before="156" w:beforeLines="50" w:after="156" w:afterLines="50" w:line="360" w:lineRule="auto"/>
        <w:jc w:val="center"/>
        <w:rPr>
          <w:rFonts w:ascii="宋体" w:hAnsi="宋体"/>
          <w:b/>
          <w:sz w:val="52"/>
          <w:szCs w:val="52"/>
        </w:rPr>
      </w:pPr>
      <w:r>
        <w:rPr>
          <w:rFonts w:hint="eastAsia" w:ascii="宋体" w:hAnsi="宋体"/>
          <w:b/>
          <w:sz w:val="52"/>
          <w:szCs w:val="52"/>
        </w:rPr>
        <w:t>购销合同</w:t>
      </w:r>
    </w:p>
    <w:tbl>
      <w:tblPr>
        <w:tblStyle w:val="8"/>
        <w:tblW w:w="5255" w:type="pct"/>
        <w:tblInd w:w="0" w:type="dxa"/>
        <w:tblLayout w:type="fixed"/>
        <w:tblCellMar>
          <w:top w:w="0" w:type="dxa"/>
          <w:left w:w="108" w:type="dxa"/>
          <w:bottom w:w="0" w:type="dxa"/>
          <w:right w:w="108" w:type="dxa"/>
        </w:tblCellMar>
      </w:tblPr>
      <w:tblGrid>
        <w:gridCol w:w="5471"/>
        <w:gridCol w:w="3250"/>
        <w:gridCol w:w="236"/>
      </w:tblGrid>
      <w:tr>
        <w:tblPrEx>
          <w:tblCellMar>
            <w:top w:w="0" w:type="dxa"/>
            <w:left w:w="108" w:type="dxa"/>
            <w:bottom w:w="0" w:type="dxa"/>
            <w:right w:w="108" w:type="dxa"/>
          </w:tblCellMar>
        </w:tblPrEx>
        <w:trPr>
          <w:trHeight w:val="390" w:hRule="atLeast"/>
        </w:trPr>
        <w:tc>
          <w:tcPr>
            <w:tcW w:w="3063" w:type="pct"/>
            <w:noWrap/>
            <w:vAlign w:val="center"/>
          </w:tcPr>
          <w:p>
            <w:pPr>
              <w:rPr>
                <w:rFonts w:ascii="宋体" w:hAnsi="宋体" w:eastAsia="宋体" w:cs="宋体"/>
                <w:szCs w:val="21"/>
              </w:rPr>
            </w:pPr>
            <w:r>
              <w:rPr>
                <w:rFonts w:hint="eastAsia" w:ascii="宋体" w:hAnsi="宋体" w:eastAsia="宋体" w:cs="宋体"/>
                <w:szCs w:val="21"/>
              </w:rPr>
              <w:t>卖    方：</w:t>
            </w:r>
          </w:p>
          <w:p>
            <w:pPr>
              <w:ind w:left="991" w:hanging="991" w:hangingChars="472"/>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法定地址：</w:t>
            </w:r>
          </w:p>
          <w:p>
            <w:pPr>
              <w:ind w:left="991" w:hanging="991" w:hangingChars="472"/>
              <w:rPr>
                <w:rFonts w:ascii="宋体" w:hAnsi="宋体" w:eastAsia="宋体" w:cs="宋体"/>
                <w:szCs w:val="21"/>
              </w:rPr>
            </w:pPr>
            <w:r>
              <w:rPr>
                <w:rFonts w:hint="eastAsia" w:ascii="宋体" w:hAnsi="宋体" w:eastAsia="宋体" w:cs="宋体"/>
                <w:szCs w:val="21"/>
              </w:rPr>
              <w:t>法定代表人：</w:t>
            </w:r>
          </w:p>
        </w:tc>
        <w:tc>
          <w:tcPr>
            <w:tcW w:w="1823" w:type="pct"/>
            <w:noWrap/>
            <w:vAlign w:val="center"/>
          </w:tcPr>
          <w:p>
            <w:pPr>
              <w:ind w:right="480"/>
              <w:rPr>
                <w:rFonts w:ascii="宋体" w:hAnsi="宋体" w:eastAsia="宋体" w:cs="宋体"/>
                <w:szCs w:val="21"/>
              </w:rPr>
            </w:pPr>
            <w:r>
              <w:rPr>
                <w:rFonts w:hint="eastAsia" w:ascii="宋体" w:hAnsi="宋体" w:eastAsia="宋体" w:cs="宋体"/>
                <w:szCs w:val="21"/>
              </w:rPr>
              <w:t>合同编号：</w:t>
            </w:r>
          </w:p>
          <w:p>
            <w:pPr>
              <w:ind w:right="480"/>
              <w:jc w:val="center"/>
              <w:rPr>
                <w:rFonts w:ascii="宋体" w:hAnsi="宋体" w:eastAsia="宋体" w:cs="宋体"/>
                <w:szCs w:val="21"/>
              </w:rPr>
            </w:pPr>
          </w:p>
          <w:p>
            <w:pPr>
              <w:widowControl/>
              <w:ind w:right="555"/>
              <w:jc w:val="left"/>
              <w:rPr>
                <w:rFonts w:ascii="宋体" w:hAnsi="宋体" w:eastAsia="宋体" w:cs="宋体"/>
                <w:kern w:val="0"/>
                <w:szCs w:val="21"/>
              </w:rPr>
            </w:pPr>
            <w:r>
              <w:rPr>
                <w:rFonts w:hint="eastAsia" w:ascii="宋体" w:hAnsi="宋体" w:eastAsia="宋体" w:cs="宋体"/>
                <w:kern w:val="0"/>
                <w:szCs w:val="21"/>
              </w:rPr>
              <w:t>签订地点：厦门市思明区</w:t>
            </w:r>
          </w:p>
        </w:tc>
        <w:tc>
          <w:tcPr>
            <w:tcW w:w="114" w:type="pct"/>
            <w:noWrap/>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1055" w:hRule="atLeast"/>
        </w:trPr>
        <w:tc>
          <w:tcPr>
            <w:tcW w:w="3063" w:type="pct"/>
            <w:noWrap/>
            <w:vAlign w:val="center"/>
          </w:tcPr>
          <w:p>
            <w:pPr>
              <w:rPr>
                <w:rFonts w:ascii="宋体" w:hAnsi="宋体" w:eastAsia="宋体" w:cs="宋体"/>
                <w:szCs w:val="21"/>
              </w:rPr>
            </w:pPr>
            <w:r>
              <w:rPr>
                <w:rFonts w:hint="eastAsia" w:ascii="宋体" w:hAnsi="宋体" w:eastAsia="宋体" w:cs="宋体"/>
                <w:szCs w:val="21"/>
              </w:rPr>
              <w:t>买   方：厦门国贸物产有限公司</w:t>
            </w:r>
          </w:p>
          <w:p>
            <w:pPr>
              <w:rPr>
                <w:rFonts w:ascii="宋体" w:hAnsi="宋体" w:eastAsia="宋体" w:cs="宋体"/>
                <w:szCs w:val="21"/>
              </w:rPr>
            </w:pPr>
            <w:r>
              <w:rPr>
                <w:rFonts w:hint="eastAsia" w:ascii="宋体" w:hAnsi="宋体" w:eastAsia="宋体" w:cs="宋体"/>
                <w:szCs w:val="21"/>
              </w:rPr>
              <w:t>法定地址：中国（福建）自由贸易试验区厦门片区象屿路93号厦门国际航运中心C栋4层431单元A之十一</w:t>
            </w:r>
          </w:p>
          <w:p>
            <w:pPr>
              <w:rPr>
                <w:rFonts w:ascii="宋体" w:hAnsi="宋体" w:eastAsia="宋体" w:cs="宋体"/>
                <w:color w:val="FF0000"/>
                <w:szCs w:val="21"/>
              </w:rPr>
            </w:pPr>
            <w:r>
              <w:rPr>
                <w:rFonts w:hint="eastAsia" w:ascii="宋体" w:hAnsi="宋体" w:eastAsia="宋体" w:cs="宋体"/>
                <w:szCs w:val="21"/>
              </w:rPr>
              <w:t>法定代表人：王永清</w:t>
            </w:r>
          </w:p>
        </w:tc>
        <w:tc>
          <w:tcPr>
            <w:tcW w:w="1823" w:type="pct"/>
            <w:noWrap/>
            <w:vAlign w:val="center"/>
          </w:tcPr>
          <w:p>
            <w:pPr>
              <w:widowControl/>
              <w:jc w:val="left"/>
              <w:rPr>
                <w:rFonts w:ascii="宋体" w:hAnsi="宋体" w:eastAsia="宋体" w:cs="宋体"/>
                <w:kern w:val="0"/>
                <w:szCs w:val="21"/>
              </w:rPr>
            </w:pPr>
            <w:r>
              <w:rPr>
                <w:rFonts w:hint="eastAsia" w:ascii="宋体" w:hAnsi="宋体" w:eastAsia="宋体" w:cs="宋体"/>
                <w:kern w:val="0"/>
                <w:szCs w:val="21"/>
              </w:rPr>
              <w:t xml:space="preserve">签订日期：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today() </w:instrText>
            </w:r>
            <w:r>
              <w:rPr>
                <w:rFonts w:hint="eastAsia" w:ascii="宋体" w:hAnsi="宋体" w:eastAsia="宋体" w:cs="宋体"/>
                <w:kern w:val="0"/>
                <w:szCs w:val="21"/>
              </w:rPr>
              <w:fldChar w:fldCharType="end"/>
            </w:r>
          </w:p>
        </w:tc>
        <w:tc>
          <w:tcPr>
            <w:tcW w:w="114" w:type="pct"/>
            <w:noWrap/>
            <w:vAlign w:val="center"/>
          </w:tcPr>
          <w:p>
            <w:pPr>
              <w:widowControl/>
              <w:jc w:val="left"/>
              <w:rPr>
                <w:rFonts w:ascii="宋体" w:hAnsi="宋体" w:eastAsia="宋体" w:cs="宋体"/>
                <w:kern w:val="0"/>
                <w:szCs w:val="21"/>
              </w:rPr>
            </w:pPr>
          </w:p>
        </w:tc>
      </w:tr>
    </w:tbl>
    <w:p>
      <w:pPr>
        <w:spacing w:line="360" w:lineRule="auto"/>
        <w:rPr>
          <w:rFonts w:ascii="宋体" w:hAnsi="宋体" w:eastAsia="宋体" w:cs="宋体"/>
          <w:szCs w:val="21"/>
        </w:rPr>
      </w:pPr>
      <w:r>
        <w:rPr>
          <w:rFonts w:hint="eastAsia" w:ascii="宋体" w:hAnsi="宋体" w:eastAsia="宋体" w:cs="宋体"/>
          <w:szCs w:val="21"/>
        </w:rPr>
        <w:t>买卖双方经协商，就买方向卖方购买模具达成协议如下：</w:t>
      </w:r>
    </w:p>
    <w:p>
      <w:pPr>
        <w:numPr>
          <w:ilvl w:val="0"/>
          <w:numId w:val="1"/>
        </w:numPr>
        <w:spacing w:line="360" w:lineRule="auto"/>
        <w:rPr>
          <w:rFonts w:ascii="宋体" w:hAnsi="宋体" w:eastAsia="宋体" w:cs="宋体"/>
          <w:b/>
          <w:szCs w:val="21"/>
        </w:rPr>
      </w:pPr>
      <w:r>
        <w:rPr>
          <w:rFonts w:hint="eastAsia" w:ascii="宋体" w:hAnsi="宋体" w:eastAsia="宋体" w:cs="宋体"/>
          <w:b/>
          <w:szCs w:val="21"/>
        </w:rPr>
        <w:t>品名、规格、数量及价格：</w:t>
      </w:r>
    </w:p>
    <w:tbl>
      <w:tblPr>
        <w:tblStyle w:val="8"/>
        <w:tblW w:w="8872" w:type="dxa"/>
        <w:jc w:val="center"/>
        <w:tblLayout w:type="fixed"/>
        <w:tblCellMar>
          <w:top w:w="0" w:type="dxa"/>
          <w:left w:w="108" w:type="dxa"/>
          <w:bottom w:w="0" w:type="dxa"/>
          <w:right w:w="108" w:type="dxa"/>
        </w:tblCellMar>
      </w:tblPr>
      <w:tblGrid>
        <w:gridCol w:w="1048"/>
        <w:gridCol w:w="687"/>
        <w:gridCol w:w="1388"/>
        <w:gridCol w:w="905"/>
        <w:gridCol w:w="862"/>
        <w:gridCol w:w="1113"/>
        <w:gridCol w:w="763"/>
        <w:gridCol w:w="1058"/>
        <w:gridCol w:w="1048"/>
      </w:tblGrid>
      <w:tr>
        <w:tblPrEx>
          <w:tblCellMar>
            <w:top w:w="0" w:type="dxa"/>
            <w:left w:w="108" w:type="dxa"/>
            <w:bottom w:w="0" w:type="dxa"/>
            <w:right w:w="108" w:type="dxa"/>
          </w:tblCellMar>
        </w:tblPrEx>
        <w:trPr>
          <w:trHeight w:val="288"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模具类型</w:t>
            </w:r>
          </w:p>
        </w:tc>
        <w:tc>
          <w:tcPr>
            <w:tcW w:w="6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序号</w:t>
            </w:r>
          </w:p>
        </w:tc>
        <w:tc>
          <w:tcPr>
            <w:tcW w:w="13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规格</w:t>
            </w:r>
          </w:p>
        </w:tc>
        <w:tc>
          <w:tcPr>
            <w:tcW w:w="9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花纹</w:t>
            </w:r>
          </w:p>
        </w:tc>
        <w:tc>
          <w:tcPr>
            <w:tcW w:w="8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总数量</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内容</w:t>
            </w:r>
          </w:p>
        </w:tc>
        <w:tc>
          <w:tcPr>
            <w:tcW w:w="763"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分瓣</w:t>
            </w:r>
          </w:p>
        </w:tc>
        <w:tc>
          <w:tcPr>
            <w:tcW w:w="1058"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单价</w:t>
            </w:r>
          </w:p>
        </w:tc>
        <w:tc>
          <w:tcPr>
            <w:tcW w:w="1048"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金额</w:t>
            </w:r>
          </w:p>
        </w:tc>
      </w:tr>
      <w:tr>
        <w:tblPrEx>
          <w:tblCellMar>
            <w:top w:w="0" w:type="dxa"/>
            <w:left w:w="108" w:type="dxa"/>
            <w:bottom w:w="0" w:type="dxa"/>
            <w:right w:w="108" w:type="dxa"/>
          </w:tblCellMar>
        </w:tblPrEx>
        <w:trPr>
          <w:trHeight w:val="288" w:hRule="atLeast"/>
          <w:jc w:val="center"/>
        </w:trPr>
        <w:tc>
          <w:tcPr>
            <w:tcW w:w="10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型腔、花纹圈</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DY619</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DY918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DY819</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DY629</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5</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DY819S</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DY918S</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DY619</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花纹圈</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DY719</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花纹圈</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12.00R20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DY829</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nil"/>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7.50R16</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AG168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7.50R16</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AG896</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12</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295/80R22.5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AG198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13</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295/80R22.5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AG219</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14</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315/80R22.5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AG198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15</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315/80R22.5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AG198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315/80R22.5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AG168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8</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17</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315/80R22.5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AG168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18</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315/80R22.5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AG168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花纹圈</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19</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AG735</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20</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AG828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21</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AG828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花纹圈</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22</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AG868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23</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11R22.5</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AG168</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型腔</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288"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等线" w:hAnsi="等线" w:eastAsia="等线" w:cs="等线"/>
                <w:color w:val="000000"/>
                <w:kern w:val="0"/>
                <w:sz w:val="22"/>
                <w:lang w:bidi="ar"/>
              </w:rPr>
              <w:t>模套</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lang w:bidi="ar"/>
              </w:rPr>
              <w:t>24</w:t>
            </w: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等线" w:hAnsi="等线" w:eastAsia="等线" w:cs="等线"/>
                <w:color w:val="000000"/>
                <w:kern w:val="0"/>
                <w:sz w:val="22"/>
                <w:lang w:bidi="ar"/>
              </w:rPr>
              <w:t>H380</w:t>
            </w: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等线" w:hAnsi="等线" w:eastAsia="等线" w:cs="等线"/>
                <w:color w:val="000000"/>
                <w:kern w:val="0"/>
                <w:sz w:val="22"/>
                <w:lang w:bidi="ar"/>
              </w:rPr>
              <w:t>------</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等线" w:hAnsi="等线" w:eastAsia="等线" w:cs="等线"/>
                <w:color w:val="000000"/>
                <w:kern w:val="0"/>
                <w:sz w:val="22"/>
                <w:lang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lang w:bidi="ar"/>
              </w:rPr>
              <w:t>模套</w:t>
            </w: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 w:val="22"/>
                <w:lang w:bidi="ar"/>
              </w:rPr>
              <w:t>-</w:t>
            </w: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lang w:bidi="ar"/>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color w:val="000000"/>
                <w:kern w:val="0"/>
                <w:sz w:val="22"/>
                <w:lang w:bidi="ar"/>
              </w:rPr>
            </w:pPr>
          </w:p>
        </w:tc>
      </w:tr>
      <w:tr>
        <w:tblPrEx>
          <w:tblCellMar>
            <w:top w:w="0" w:type="dxa"/>
            <w:left w:w="108" w:type="dxa"/>
            <w:bottom w:w="0" w:type="dxa"/>
            <w:right w:w="108" w:type="dxa"/>
          </w:tblCellMar>
        </w:tblPrEx>
        <w:trPr>
          <w:trHeight w:val="276" w:hRule="atLeast"/>
          <w:jc w:val="center"/>
        </w:trPr>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Cs w:val="21"/>
              </w:rPr>
            </w:pPr>
            <w:r>
              <w:rPr>
                <w:rFonts w:hint="eastAsia" w:ascii="等线" w:hAnsi="等线" w:eastAsia="等线" w:cs="等线"/>
                <w:b/>
                <w:bCs/>
                <w:color w:val="000000"/>
                <w:kern w:val="0"/>
                <w:sz w:val="22"/>
                <w:lang w:bidi="ar"/>
              </w:rPr>
              <w:t>合计</w:t>
            </w:r>
          </w:p>
        </w:tc>
        <w:tc>
          <w:tcPr>
            <w:tcW w:w="6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Cs w:val="21"/>
              </w:rPr>
            </w:pPr>
          </w:p>
        </w:tc>
        <w:tc>
          <w:tcPr>
            <w:tcW w:w="13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Cs w:val="21"/>
              </w:rPr>
            </w:pPr>
          </w:p>
        </w:tc>
        <w:tc>
          <w:tcPr>
            <w:tcW w:w="90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Cs w:val="21"/>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eastAsia="宋体" w:cs="宋体"/>
                <w:b/>
                <w:bCs/>
                <w:color w:val="000000"/>
                <w:szCs w:val="21"/>
              </w:rPr>
            </w:pPr>
            <w:r>
              <w:rPr>
                <w:rFonts w:hint="eastAsia" w:ascii="等线" w:hAnsi="等线" w:eastAsia="等线" w:cs="等线"/>
                <w:b/>
                <w:bCs/>
                <w:color w:val="000000"/>
                <w:kern w:val="0"/>
                <w:sz w:val="22"/>
                <w:lang w:bidi="ar"/>
              </w:rPr>
              <w:t>86</w:t>
            </w:r>
          </w:p>
        </w:tc>
        <w:tc>
          <w:tcPr>
            <w:tcW w:w="11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Cs w:val="21"/>
              </w:rPr>
            </w:pPr>
          </w:p>
        </w:tc>
        <w:tc>
          <w:tcPr>
            <w:tcW w:w="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Cs w:val="21"/>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Cs w:val="21"/>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宋体" w:hAnsi="宋体" w:eastAsia="宋体" w:cs="宋体"/>
                <w:b/>
                <w:bCs/>
                <w:color w:val="000000"/>
                <w:szCs w:val="21"/>
              </w:rPr>
            </w:pPr>
          </w:p>
        </w:tc>
      </w:tr>
    </w:tbl>
    <w:p>
      <w:pPr>
        <w:numPr>
          <w:ilvl w:val="0"/>
          <w:numId w:val="1"/>
        </w:numPr>
        <w:spacing w:line="360" w:lineRule="auto"/>
        <w:rPr>
          <w:rFonts w:ascii="宋体" w:hAnsi="宋体" w:eastAsia="宋体" w:cs="宋体"/>
          <w:szCs w:val="21"/>
        </w:rPr>
      </w:pPr>
      <w:r>
        <w:rPr>
          <w:rFonts w:hint="eastAsia" w:ascii="宋体" w:hAnsi="宋体" w:eastAsia="宋体" w:cs="宋体"/>
          <w:b/>
          <w:szCs w:val="21"/>
        </w:rPr>
        <w:t>付款、交货方式：</w:t>
      </w:r>
    </w:p>
    <w:p>
      <w:pPr>
        <w:spacing w:line="360" w:lineRule="auto"/>
        <w:ind w:firstLine="420" w:firstLineChars="200"/>
        <w:rPr>
          <w:rFonts w:ascii="宋体" w:hAnsi="宋体" w:cs="宋体"/>
          <w:szCs w:val="21"/>
        </w:rPr>
      </w:pPr>
      <w:r>
        <w:rPr>
          <w:rFonts w:hint="eastAsia" w:ascii="宋体" w:hAnsi="宋体" w:cs="宋体"/>
          <w:szCs w:val="21"/>
        </w:rPr>
        <w:t>货到付款，卖方应于2021年12月20日前（含当日）在五莲县森龙橡胶有限公司车间向买方交货，买方于收到货权后两个工作日内以现金电汇方式向卖方支付相应货款。卖方收款信息如下：</w:t>
      </w:r>
    </w:p>
    <w:p>
      <w:pPr>
        <w:spacing w:line="360" w:lineRule="auto"/>
        <w:ind w:firstLine="420" w:firstLineChars="200"/>
        <w:rPr>
          <w:rFonts w:ascii="宋体" w:hAnsi="宋体" w:cs="宋体"/>
          <w:szCs w:val="21"/>
        </w:rPr>
      </w:pPr>
      <w:r>
        <w:rPr>
          <w:rFonts w:hint="eastAsia" w:ascii="宋体" w:hAnsi="宋体" w:cs="宋体"/>
          <w:szCs w:val="21"/>
        </w:rPr>
        <w:t>公司名称：</w:t>
      </w:r>
    </w:p>
    <w:p>
      <w:pPr>
        <w:spacing w:line="360" w:lineRule="auto"/>
        <w:ind w:firstLine="420" w:firstLineChars="200"/>
        <w:rPr>
          <w:rFonts w:ascii="宋体" w:hAnsi="宋体" w:cs="宋体"/>
          <w:szCs w:val="21"/>
        </w:rPr>
      </w:pPr>
      <w:r>
        <w:rPr>
          <w:rFonts w:hint="eastAsia" w:ascii="宋体" w:hAnsi="宋体" w:cs="宋体"/>
          <w:szCs w:val="21"/>
        </w:rPr>
        <w:t>开户行：</w:t>
      </w:r>
    </w:p>
    <w:p>
      <w:pPr>
        <w:spacing w:line="360" w:lineRule="auto"/>
        <w:ind w:firstLine="420" w:firstLineChars="200"/>
        <w:rPr>
          <w:rFonts w:ascii="宋体" w:hAnsi="宋体" w:cs="宋体"/>
          <w:szCs w:val="21"/>
        </w:rPr>
      </w:pPr>
      <w:r>
        <w:rPr>
          <w:rFonts w:hint="eastAsia" w:ascii="宋体" w:hAnsi="宋体" w:cs="宋体"/>
          <w:szCs w:val="21"/>
        </w:rPr>
        <w:t>银行账号：</w:t>
      </w:r>
    </w:p>
    <w:p>
      <w:pPr>
        <w:spacing w:line="360" w:lineRule="auto"/>
        <w:ind w:firstLine="420" w:firstLineChars="200"/>
        <w:rPr>
          <w:rFonts w:ascii="宋体" w:hAnsi="宋体" w:cs="宋体"/>
          <w:szCs w:val="21"/>
        </w:rPr>
      </w:pPr>
      <w:r>
        <w:rPr>
          <w:rFonts w:hint="eastAsia" w:ascii="宋体" w:hAnsi="宋体" w:cs="宋体"/>
          <w:szCs w:val="21"/>
        </w:rPr>
        <w:t>联行号：</w:t>
      </w:r>
    </w:p>
    <w:p>
      <w:pPr>
        <w:pStyle w:val="14"/>
        <w:numPr>
          <w:ilvl w:val="0"/>
          <w:numId w:val="2"/>
        </w:numPr>
        <w:spacing w:line="360" w:lineRule="auto"/>
        <w:ind w:firstLineChars="0"/>
        <w:rPr>
          <w:rFonts w:ascii="宋体" w:hAnsi="宋体" w:eastAsia="宋体" w:cs="宋体"/>
          <w:szCs w:val="21"/>
        </w:rPr>
      </w:pPr>
      <w:r>
        <w:rPr>
          <w:rFonts w:hint="eastAsia" w:ascii="宋体" w:hAnsi="宋体" w:eastAsia="宋体" w:cs="宋体"/>
          <w:b/>
          <w:szCs w:val="21"/>
        </w:rPr>
        <w:t>费用承担：</w:t>
      </w:r>
      <w:r>
        <w:rPr>
          <w:rFonts w:hint="eastAsia" w:ascii="宋体" w:hAnsi="宋体" w:eastAsia="宋体" w:cs="宋体"/>
          <w:szCs w:val="21"/>
        </w:rPr>
        <w:t>所产生的运杂费由卖方承担。</w:t>
      </w:r>
    </w:p>
    <w:p>
      <w:pPr>
        <w:pStyle w:val="14"/>
        <w:numPr>
          <w:ilvl w:val="0"/>
          <w:numId w:val="2"/>
        </w:numPr>
        <w:spacing w:line="360" w:lineRule="auto"/>
        <w:ind w:firstLineChars="0"/>
        <w:rPr>
          <w:rFonts w:ascii="宋体" w:hAnsi="宋体" w:eastAsia="宋体" w:cs="宋体"/>
          <w:szCs w:val="21"/>
        </w:rPr>
      </w:pPr>
      <w:r>
        <w:rPr>
          <w:rFonts w:hint="eastAsia" w:ascii="宋体" w:hAnsi="宋体" w:eastAsia="宋体" w:cs="宋体"/>
          <w:b/>
          <w:szCs w:val="21"/>
        </w:rPr>
        <w:t>卖方应提供的单据及提供的时间：</w:t>
      </w:r>
      <w:r>
        <w:rPr>
          <w:rFonts w:hint="eastAsia" w:ascii="宋体" w:hAnsi="宋体" w:eastAsia="宋体" w:cs="宋体"/>
          <w:szCs w:val="21"/>
        </w:rPr>
        <w:t>卖方应在收到货款后15日内开具合法、有效的相应增值税专用发票（税率为13%）。</w:t>
      </w:r>
    </w:p>
    <w:p>
      <w:pPr>
        <w:numPr>
          <w:ilvl w:val="0"/>
          <w:numId w:val="2"/>
        </w:numPr>
        <w:spacing w:line="360" w:lineRule="auto"/>
        <w:rPr>
          <w:rFonts w:ascii="宋体" w:hAnsi="宋体" w:eastAsia="宋体" w:cs="宋体"/>
          <w:bCs/>
          <w:szCs w:val="21"/>
        </w:rPr>
      </w:pPr>
      <w:r>
        <w:rPr>
          <w:rFonts w:hint="eastAsia" w:ascii="宋体" w:hAnsi="宋体" w:eastAsia="宋体" w:cs="宋体"/>
          <w:b/>
          <w:szCs w:val="21"/>
        </w:rPr>
        <w:t>技术标准：1、</w:t>
      </w:r>
      <w:r>
        <w:rPr>
          <w:rFonts w:hint="eastAsia" w:ascii="宋体" w:hAnsi="宋体" w:eastAsia="宋体" w:cs="宋体"/>
          <w:bCs/>
          <w:szCs w:val="21"/>
        </w:rPr>
        <w:t>本合同模具应执行国家技术法规、强制性标准及其它相关标准；2、应符合附件《模具采购技术要求规范》。</w:t>
      </w:r>
    </w:p>
    <w:p>
      <w:pPr>
        <w:numPr>
          <w:ilvl w:val="0"/>
          <w:numId w:val="2"/>
        </w:numPr>
        <w:spacing w:line="360" w:lineRule="auto"/>
        <w:rPr>
          <w:rFonts w:ascii="宋体" w:hAnsi="宋体" w:eastAsia="宋体" w:cs="宋体"/>
          <w:szCs w:val="21"/>
        </w:rPr>
      </w:pPr>
      <w:r>
        <w:rPr>
          <w:rFonts w:hint="eastAsia" w:ascii="宋体" w:hAnsi="宋体" w:eastAsia="宋体" w:cs="宋体"/>
          <w:b/>
          <w:szCs w:val="21"/>
        </w:rPr>
        <w:t>质量要求：</w:t>
      </w:r>
      <w:r>
        <w:rPr>
          <w:rFonts w:hint="eastAsia" w:ascii="宋体" w:hAnsi="宋体" w:eastAsia="宋体" w:cs="宋体"/>
          <w:szCs w:val="21"/>
        </w:rPr>
        <w:t>卖方应对其供应的模具质量实行严格控制：产品质量须符合买方的工艺技术要求。卖方应在交货前对产品的质量、性能等进行详细的检验，并出具一份证明产品符合合同规定标准的检验合格证（该合格证不作为产品的最终检验证明）。买方在收到货物后，发现货物不符合本合同约定的技术标准及买方的要求，买方有权拒收或要求退/换货物，因此遭受的损失和费用应由卖方予以赔偿。</w:t>
      </w:r>
    </w:p>
    <w:p>
      <w:pPr>
        <w:pStyle w:val="2"/>
        <w:numPr>
          <w:ilvl w:val="0"/>
          <w:numId w:val="2"/>
        </w:numPr>
        <w:spacing w:line="360" w:lineRule="auto"/>
        <w:rPr>
          <w:rFonts w:ascii="宋体" w:hAnsi="宋体" w:eastAsia="宋体" w:cs="宋体"/>
          <w:b/>
          <w:szCs w:val="21"/>
        </w:rPr>
      </w:pPr>
      <w:r>
        <w:rPr>
          <w:rFonts w:hint="eastAsia" w:ascii="宋体" w:hAnsi="宋体" w:cs="宋体"/>
          <w:b/>
          <w:bCs/>
          <w:szCs w:val="21"/>
        </w:rPr>
        <w:t>质保期</w:t>
      </w:r>
      <w:r>
        <w:rPr>
          <w:rFonts w:hint="eastAsia" w:ascii="宋体" w:hAnsi="宋体" w:eastAsia="宋体" w:cs="宋体"/>
          <w:b/>
          <w:bCs/>
          <w:szCs w:val="21"/>
        </w:rPr>
        <w:t>：</w:t>
      </w:r>
    </w:p>
    <w:p>
      <w:pPr>
        <w:spacing w:line="360" w:lineRule="auto"/>
        <w:ind w:firstLine="420" w:firstLineChars="200"/>
        <w:rPr>
          <w:rFonts w:ascii="宋体" w:hAnsi="宋体" w:eastAsia="宋体" w:cs="宋体"/>
          <w:szCs w:val="21"/>
        </w:rPr>
      </w:pPr>
      <w:r>
        <w:rPr>
          <w:rFonts w:hint="eastAsia" w:ascii="宋体" w:hAnsi="宋体" w:cs="宋体"/>
          <w:szCs w:val="21"/>
        </w:rPr>
        <w:t>卖方</w:t>
      </w:r>
      <w:r>
        <w:rPr>
          <w:rFonts w:hint="eastAsia" w:ascii="宋体" w:hAnsi="宋体" w:eastAsia="宋体" w:cs="宋体"/>
          <w:szCs w:val="21"/>
        </w:rPr>
        <w:t>承诺其模具的质量保证期为12个月；</w:t>
      </w:r>
      <w:bookmarkStart w:id="2" w:name="_Hlk59009007"/>
      <w:r>
        <w:rPr>
          <w:rFonts w:hint="eastAsia" w:ascii="宋体" w:hAnsi="宋体" w:eastAsia="宋体" w:cs="宋体"/>
          <w:szCs w:val="21"/>
        </w:rPr>
        <w:t>质量保证期</w:t>
      </w:r>
      <w:bookmarkEnd w:id="2"/>
      <w:r>
        <w:rPr>
          <w:rFonts w:hint="eastAsia" w:ascii="宋体" w:hAnsi="宋体" w:eastAsia="宋体" w:cs="宋体"/>
          <w:szCs w:val="21"/>
        </w:rPr>
        <w:t>自产品最终验收合格，正式投入生产运行时开始计算；质量保证期内</w:t>
      </w:r>
      <w:r>
        <w:rPr>
          <w:rFonts w:hint="eastAsia" w:ascii="宋体" w:hAnsi="宋体" w:cs="宋体"/>
          <w:szCs w:val="21"/>
        </w:rPr>
        <w:t>卖方</w:t>
      </w:r>
      <w:r>
        <w:rPr>
          <w:rFonts w:hint="eastAsia" w:ascii="宋体" w:hAnsi="宋体" w:eastAsia="宋体" w:cs="宋体"/>
          <w:szCs w:val="21"/>
        </w:rPr>
        <w:t>应免费提供技术支持。</w:t>
      </w:r>
    </w:p>
    <w:p>
      <w:pPr>
        <w:pStyle w:val="2"/>
        <w:numPr>
          <w:ilvl w:val="0"/>
          <w:numId w:val="2"/>
        </w:numPr>
        <w:spacing w:line="360" w:lineRule="auto"/>
        <w:rPr>
          <w:rFonts w:ascii="宋体" w:hAnsi="宋体" w:eastAsia="宋体" w:cs="宋体"/>
          <w:b/>
          <w:bCs/>
          <w:szCs w:val="21"/>
        </w:rPr>
      </w:pPr>
      <w:r>
        <w:rPr>
          <w:rFonts w:hint="eastAsia" w:ascii="宋体" w:hAnsi="宋体" w:eastAsia="宋体" w:cs="宋体"/>
          <w:b/>
          <w:bCs/>
          <w:szCs w:val="21"/>
        </w:rPr>
        <w:t>违约责任：</w:t>
      </w:r>
    </w:p>
    <w:p>
      <w:pPr>
        <w:spacing w:line="360" w:lineRule="auto"/>
        <w:ind w:firstLine="420" w:firstLineChars="200"/>
        <w:rPr>
          <w:rFonts w:ascii="宋体" w:hAnsi="宋体" w:eastAsia="宋体" w:cs="宋体"/>
          <w:szCs w:val="21"/>
        </w:rPr>
      </w:pPr>
      <w:r>
        <w:rPr>
          <w:rFonts w:hint="eastAsia" w:ascii="宋体" w:hAnsi="宋体" w:eastAsia="宋体" w:cs="宋体"/>
          <w:szCs w:val="21"/>
        </w:rPr>
        <w:t>买卖双方中任何一方违反本合同规定的，应向另一方支付相当于本合同标的总额20%违约金。因违约给对方造成的损失高于违约金数额的，违约一方还应承担赔偿损失的责任。违约一方承担的赔偿范围应包括另一方因此支付的法律费用，如诉讼费、律师费等。</w:t>
      </w:r>
    </w:p>
    <w:p>
      <w:pPr>
        <w:pStyle w:val="2"/>
        <w:numPr>
          <w:ilvl w:val="0"/>
          <w:numId w:val="2"/>
        </w:numPr>
        <w:spacing w:line="360" w:lineRule="auto"/>
        <w:rPr>
          <w:rFonts w:ascii="宋体" w:hAnsi="宋体" w:eastAsia="宋体" w:cs="宋体"/>
          <w:b/>
          <w:bCs/>
          <w:szCs w:val="21"/>
        </w:rPr>
      </w:pPr>
      <w:bookmarkStart w:id="3" w:name="_Hlk8726009"/>
      <w:r>
        <w:rPr>
          <w:rFonts w:hint="eastAsia" w:ascii="宋体" w:hAnsi="宋体" w:eastAsia="宋体" w:cs="宋体"/>
          <w:b/>
          <w:bCs/>
          <w:szCs w:val="21"/>
        </w:rPr>
        <w:t>不可抗力：</w:t>
      </w:r>
    </w:p>
    <w:p>
      <w:pPr>
        <w:spacing w:line="360" w:lineRule="auto"/>
        <w:ind w:firstLine="420" w:firstLineChars="200"/>
        <w:rPr>
          <w:rFonts w:ascii="宋体" w:hAnsi="宋体" w:eastAsia="宋体" w:cs="宋体"/>
          <w:szCs w:val="21"/>
        </w:rPr>
      </w:pPr>
      <w:r>
        <w:rPr>
          <w:rFonts w:hint="eastAsia" w:ascii="宋体" w:hAnsi="宋体" w:eastAsia="宋体" w:cs="宋体"/>
          <w:szCs w:val="21"/>
        </w:rPr>
        <w:t>任何一方因战争、罢工、政府禁令、内乱、火灾、地震、台风、暴雨等不可抗力的原因而未能履行合同时，有权根据情况单方面选择延期履行、部分履行或者解除合同。但应在不可抗力事件发生后15日内及时向对方书面通知不能履行或不能完全履行的情况。双方应共同积极采取合理措施，减少损失。</w:t>
      </w:r>
      <w:bookmarkEnd w:id="3"/>
    </w:p>
    <w:p>
      <w:pPr>
        <w:pStyle w:val="2"/>
        <w:numPr>
          <w:ilvl w:val="0"/>
          <w:numId w:val="2"/>
        </w:numPr>
        <w:spacing w:line="360" w:lineRule="auto"/>
        <w:rPr>
          <w:rFonts w:ascii="宋体" w:hAnsi="宋体" w:eastAsia="宋体" w:cs="宋体"/>
          <w:b/>
          <w:bCs/>
          <w:szCs w:val="21"/>
        </w:rPr>
      </w:pPr>
      <w:r>
        <w:rPr>
          <w:rFonts w:hint="eastAsia" w:ascii="宋体" w:hAnsi="宋体" w:eastAsia="宋体" w:cs="宋体"/>
          <w:b/>
          <w:bCs/>
          <w:szCs w:val="21"/>
        </w:rPr>
        <w:t>解决合同纠纷的方式：</w:t>
      </w:r>
    </w:p>
    <w:p>
      <w:pPr>
        <w:spacing w:line="360" w:lineRule="auto"/>
        <w:ind w:firstLine="420" w:firstLineChars="200"/>
        <w:rPr>
          <w:rFonts w:ascii="宋体" w:hAnsi="宋体" w:eastAsia="宋体" w:cs="宋体"/>
          <w:szCs w:val="21"/>
        </w:rPr>
      </w:pPr>
      <w:r>
        <w:rPr>
          <w:rFonts w:hint="eastAsia" w:ascii="宋体" w:hAnsi="宋体" w:eastAsia="宋体" w:cs="宋体"/>
          <w:szCs w:val="21"/>
        </w:rPr>
        <w:t>由当事人双方协商解决，协商不成由签约地法院裁决。</w:t>
      </w:r>
    </w:p>
    <w:p>
      <w:pPr>
        <w:pStyle w:val="2"/>
        <w:numPr>
          <w:ilvl w:val="0"/>
          <w:numId w:val="2"/>
        </w:numPr>
        <w:spacing w:line="360" w:lineRule="auto"/>
        <w:rPr>
          <w:rFonts w:ascii="宋体" w:hAnsi="宋体" w:eastAsia="宋体" w:cs="宋体"/>
          <w:b/>
          <w:bCs/>
          <w:szCs w:val="21"/>
        </w:rPr>
      </w:pPr>
      <w:r>
        <w:rPr>
          <w:rFonts w:hint="eastAsia" w:ascii="宋体" w:hAnsi="宋体" w:eastAsia="宋体" w:cs="宋体"/>
          <w:b/>
          <w:bCs/>
          <w:szCs w:val="21"/>
        </w:rPr>
        <w:t>其他约定事项：</w:t>
      </w:r>
    </w:p>
    <w:p>
      <w:pPr>
        <w:numPr>
          <w:ilvl w:val="0"/>
          <w:numId w:val="3"/>
        </w:numPr>
        <w:spacing w:line="360" w:lineRule="auto"/>
        <w:rPr>
          <w:rFonts w:ascii="宋体" w:hAnsi="宋体" w:eastAsia="宋体" w:cs="宋体"/>
          <w:szCs w:val="21"/>
        </w:rPr>
      </w:pPr>
      <w:r>
        <w:rPr>
          <w:rFonts w:hint="eastAsia" w:ascii="宋体" w:hAnsi="宋体" w:eastAsia="宋体" w:cs="宋体"/>
          <w:szCs w:val="21"/>
        </w:rPr>
        <w:t>本合同直接约束买方和卖方。</w:t>
      </w:r>
    </w:p>
    <w:p>
      <w:pPr>
        <w:numPr>
          <w:ilvl w:val="0"/>
          <w:numId w:val="3"/>
        </w:numPr>
        <w:spacing w:line="360" w:lineRule="auto"/>
        <w:rPr>
          <w:rFonts w:ascii="宋体" w:hAnsi="宋体" w:eastAsia="宋体" w:cs="宋体"/>
          <w:szCs w:val="21"/>
        </w:rPr>
      </w:pPr>
      <w:r>
        <w:rPr>
          <w:rFonts w:hint="eastAsia" w:ascii="宋体" w:hAnsi="宋体" w:eastAsia="宋体" w:cs="宋体"/>
          <w:szCs w:val="21"/>
        </w:rPr>
        <w:t>卖方保证所交付货物权属清楚，提供的一切文件、单据均为真实可靠，无任何伪造和隐瞒事实之处，有权依法独立处分，否则应赔偿由此给买方造成的经济损失（包括但不限于买方的可得利益损失、重购价差、期货端点价头寸损失及下游客户向买方主张的相关损失赔偿、涉诉律师费、诉讼费等）。</w:t>
      </w:r>
      <w:bookmarkStart w:id="4" w:name="_GoBack"/>
      <w:bookmarkEnd w:id="4"/>
    </w:p>
    <w:p>
      <w:pPr>
        <w:numPr>
          <w:ilvl w:val="0"/>
          <w:numId w:val="3"/>
        </w:numPr>
        <w:spacing w:line="360" w:lineRule="auto"/>
        <w:rPr>
          <w:rFonts w:ascii="宋体" w:hAnsi="宋体" w:eastAsia="宋体" w:cs="宋体"/>
          <w:szCs w:val="21"/>
        </w:rPr>
      </w:pPr>
      <w:r>
        <w:rPr>
          <w:rFonts w:hint="eastAsia" w:ascii="宋体" w:hAnsi="宋体" w:eastAsia="宋体" w:cs="宋体"/>
          <w:szCs w:val="21"/>
        </w:rPr>
        <w:t xml:space="preserve">双方保证本合同中所载各方或其代理人的联系地址、电话等真实有效，如有变更，应及时通知对方。否则，有关通知等未能送达的责任由该方承担，各方发出的通知等信件的投邮之次日视为送达日期。 </w:t>
      </w:r>
    </w:p>
    <w:p>
      <w:pPr>
        <w:numPr>
          <w:ilvl w:val="0"/>
          <w:numId w:val="3"/>
        </w:numPr>
        <w:spacing w:line="360" w:lineRule="auto"/>
        <w:rPr>
          <w:rFonts w:ascii="宋体" w:hAnsi="宋体" w:eastAsia="宋体" w:cs="宋体"/>
          <w:szCs w:val="21"/>
        </w:rPr>
      </w:pPr>
      <w:r>
        <w:rPr>
          <w:rFonts w:hint="eastAsia" w:ascii="宋体" w:hAnsi="宋体" w:eastAsia="宋体" w:cs="宋体"/>
          <w:szCs w:val="21"/>
        </w:rPr>
        <w:t xml:space="preserve">未尽事宜，双方协商解决。  </w:t>
      </w:r>
    </w:p>
    <w:p>
      <w:pPr>
        <w:pStyle w:val="2"/>
        <w:numPr>
          <w:ilvl w:val="0"/>
          <w:numId w:val="2"/>
        </w:numPr>
        <w:spacing w:line="360" w:lineRule="auto"/>
        <w:rPr>
          <w:rFonts w:ascii="宋体" w:hAnsi="宋体" w:eastAsia="宋体" w:cs="宋体"/>
          <w:b/>
          <w:bCs/>
          <w:szCs w:val="21"/>
        </w:rPr>
      </w:pPr>
      <w:r>
        <w:rPr>
          <w:rFonts w:hint="eastAsia" w:ascii="宋体" w:hAnsi="宋体" w:eastAsia="宋体" w:cs="宋体"/>
          <w:b/>
          <w:bCs/>
          <w:szCs w:val="21"/>
        </w:rPr>
        <w:t>合同生效：</w:t>
      </w:r>
    </w:p>
    <w:p>
      <w:pPr>
        <w:snapToGrid w:val="0"/>
        <w:spacing w:line="360" w:lineRule="auto"/>
        <w:rPr>
          <w:rFonts w:ascii="宋体" w:hAnsi="宋体" w:eastAsia="宋体" w:cs="宋体"/>
          <w:szCs w:val="21"/>
        </w:rPr>
      </w:pPr>
      <w:r>
        <w:rPr>
          <w:rFonts w:hint="eastAsia" w:ascii="宋体" w:hAnsi="宋体" w:eastAsia="宋体" w:cs="宋体"/>
          <w:szCs w:val="21"/>
        </w:rPr>
        <w:t>本合同一式两份，双方盖章后生效，买卖双方各执壹份，本合同传真件、扫描件视同正本具有法律效力。</w:t>
      </w:r>
    </w:p>
    <w:p>
      <w:pPr>
        <w:snapToGrid w:val="0"/>
        <w:spacing w:line="360" w:lineRule="auto"/>
        <w:ind w:left="450"/>
        <w:rPr>
          <w:rFonts w:ascii="宋体" w:hAnsi="宋体" w:eastAsia="宋体" w:cs="宋体"/>
          <w:b/>
          <w:szCs w:val="21"/>
        </w:rPr>
      </w:pPr>
    </w:p>
    <w:p>
      <w:pPr>
        <w:snapToGrid w:val="0"/>
        <w:spacing w:line="360" w:lineRule="auto"/>
        <w:ind w:left="450"/>
        <w:rPr>
          <w:rFonts w:ascii="宋体" w:hAnsi="宋体" w:eastAsia="宋体" w:cs="宋体"/>
          <w:szCs w:val="21"/>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0"/>
        <w:gridCol w:w="42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4927" w:type="dxa"/>
          </w:tcPr>
          <w:p>
            <w:pPr>
              <w:spacing w:line="360" w:lineRule="auto"/>
              <w:rPr>
                <w:rFonts w:ascii="宋体" w:hAnsi="宋体" w:eastAsia="宋体" w:cs="宋体"/>
                <w:szCs w:val="21"/>
              </w:rPr>
            </w:pPr>
            <w:r>
              <w:rPr>
                <w:rFonts w:hint="eastAsia" w:ascii="宋体" w:hAnsi="宋体" w:eastAsia="宋体" w:cs="宋体"/>
                <w:szCs w:val="21"/>
              </w:rPr>
              <w:t>卖方：</w:t>
            </w:r>
          </w:p>
          <w:p>
            <w:pPr>
              <w:spacing w:line="360" w:lineRule="auto"/>
              <w:ind w:left="630" w:hanging="630" w:hangingChars="300"/>
              <w:rPr>
                <w:rFonts w:ascii="宋体" w:hAnsi="宋体" w:eastAsia="宋体" w:cs="宋体"/>
                <w:szCs w:val="21"/>
              </w:rPr>
            </w:pPr>
            <w:r>
              <w:rPr>
                <w:rFonts w:hint="eastAsia" w:ascii="宋体" w:hAnsi="宋体" w:eastAsia="宋体" w:cs="宋体"/>
                <w:szCs w:val="21"/>
              </w:rPr>
              <w:t>地址：</w:t>
            </w:r>
          </w:p>
          <w:p>
            <w:pPr>
              <w:widowControl/>
              <w:spacing w:line="360" w:lineRule="auto"/>
              <w:jc w:val="left"/>
              <w:rPr>
                <w:rFonts w:ascii="宋体" w:hAnsi="宋体" w:eastAsia="宋体" w:cs="宋体"/>
                <w:szCs w:val="21"/>
              </w:rPr>
            </w:pPr>
            <w:r>
              <w:rPr>
                <w:rFonts w:hint="eastAsia" w:ascii="宋体" w:hAnsi="宋体" w:eastAsia="宋体" w:cs="宋体"/>
                <w:szCs w:val="21"/>
              </w:rPr>
              <w:t>电话：</w:t>
            </w:r>
          </w:p>
          <w:p>
            <w:pPr>
              <w:spacing w:line="360" w:lineRule="auto"/>
              <w:rPr>
                <w:rFonts w:ascii="宋体" w:hAnsi="宋体" w:eastAsia="宋体" w:cs="宋体"/>
                <w:szCs w:val="21"/>
              </w:rPr>
            </w:pPr>
          </w:p>
        </w:tc>
        <w:tc>
          <w:tcPr>
            <w:tcW w:w="4928" w:type="dxa"/>
          </w:tcPr>
          <w:p>
            <w:pPr>
              <w:spacing w:line="360" w:lineRule="auto"/>
              <w:rPr>
                <w:rFonts w:ascii="宋体" w:hAnsi="宋体" w:eastAsia="宋体" w:cs="宋体"/>
                <w:szCs w:val="21"/>
              </w:rPr>
            </w:pPr>
            <w:r>
              <w:rPr>
                <w:rFonts w:hint="eastAsia" w:ascii="宋体" w:hAnsi="宋体" w:eastAsia="宋体" w:cs="宋体"/>
                <w:szCs w:val="21"/>
              </w:rPr>
              <w:t>买方：厦门国贸物产有限公司</w:t>
            </w:r>
          </w:p>
          <w:p>
            <w:pPr>
              <w:spacing w:line="360" w:lineRule="auto"/>
              <w:rPr>
                <w:rFonts w:ascii="宋体" w:hAnsi="宋体" w:eastAsia="宋体" w:cs="宋体"/>
                <w:szCs w:val="21"/>
              </w:rPr>
            </w:pPr>
            <w:r>
              <w:rPr>
                <w:rFonts w:hint="eastAsia" w:ascii="宋体" w:hAnsi="宋体" w:eastAsia="宋体" w:cs="宋体"/>
                <w:szCs w:val="21"/>
              </w:rPr>
              <w:t>地址：厦门市湖里区仙岳路4686-4688号国贸中心A栋21层</w:t>
            </w:r>
          </w:p>
          <w:p>
            <w:pPr>
              <w:spacing w:line="360" w:lineRule="auto"/>
              <w:rPr>
                <w:rFonts w:ascii="宋体" w:hAnsi="宋体" w:eastAsia="宋体" w:cs="宋体"/>
                <w:szCs w:val="21"/>
              </w:rPr>
            </w:pPr>
            <w:r>
              <w:rPr>
                <w:rFonts w:hint="eastAsia" w:ascii="宋体" w:hAnsi="宋体" w:eastAsia="宋体" w:cs="宋体"/>
                <w:szCs w:val="21"/>
              </w:rPr>
              <w:t>电话：</w:t>
            </w:r>
          </w:p>
        </w:tc>
      </w:tr>
    </w:tbl>
    <w:p>
      <w:pPr>
        <w:spacing w:line="360" w:lineRule="auto"/>
        <w:rPr>
          <w:szCs w:val="21"/>
        </w:rPr>
      </w:pPr>
      <w:r>
        <w:rPr>
          <w:rFonts w:hint="eastAsia"/>
          <w:szCs w:val="21"/>
        </w:rPr>
        <w:t>附件：</w:t>
      </w:r>
      <w:r>
        <w:rPr>
          <w:rFonts w:hint="eastAsia" w:ascii="宋体" w:hAnsi="宋体" w:eastAsia="宋体" w:cs="宋体"/>
          <w:bCs/>
          <w:szCs w:val="21"/>
        </w:rPr>
        <w:t>《模具采购技术要求规范》</w:t>
      </w:r>
    </w:p>
    <w:p>
      <w:pPr>
        <w:widowControl/>
        <w:jc w:val="left"/>
        <w:rPr>
          <w:rFonts w:ascii="宋体" w:hAnsi="宋体" w:eastAsia="宋体" w:cs="宋体"/>
          <w:szCs w:val="21"/>
        </w:rPr>
      </w:pPr>
      <w:r>
        <w:rPr>
          <w:rFonts w:ascii="宋体" w:hAnsi="宋体" w:eastAsia="宋体" w:cs="宋体"/>
          <w:szCs w:val="21"/>
        </w:rPr>
        <w:br w:type="page"/>
      </w:r>
    </w:p>
    <w:p>
      <w:pPr>
        <w:spacing w:before="240" w:after="240" w:line="360" w:lineRule="auto"/>
        <w:jc w:val="center"/>
        <w:rPr>
          <w:rFonts w:ascii="宋体"/>
          <w:b/>
          <w:bCs/>
          <w:color w:val="000000"/>
          <w:sz w:val="32"/>
          <w:szCs w:val="32"/>
        </w:rPr>
      </w:pPr>
      <w:r>
        <w:rPr>
          <w:rFonts w:hint="eastAsia" w:ascii="宋体"/>
          <w:b/>
          <w:bCs/>
          <w:color w:val="000000"/>
          <w:sz w:val="32"/>
          <w:szCs w:val="32"/>
        </w:rPr>
        <w:t>模具采购技术要求规范</w:t>
      </w:r>
    </w:p>
    <w:p>
      <w:pPr>
        <w:spacing w:after="240" w:line="380" w:lineRule="exact"/>
        <w:rPr>
          <w:rFonts w:ascii="宋体"/>
          <w:b/>
          <w:bCs/>
          <w:sz w:val="24"/>
        </w:rPr>
      </w:pPr>
      <w:r>
        <w:rPr>
          <w:rFonts w:hint="eastAsia" w:ascii="宋体"/>
          <w:b/>
          <w:bCs/>
          <w:sz w:val="28"/>
          <w:szCs w:val="28"/>
        </w:rPr>
        <w:t>一、模具加工精度技术要求</w:t>
      </w:r>
    </w:p>
    <w:p>
      <w:pPr>
        <w:widowControl/>
        <w:numPr>
          <w:ilvl w:val="0"/>
          <w:numId w:val="4"/>
        </w:numPr>
        <w:spacing w:line="380" w:lineRule="exact"/>
        <w:ind w:left="307" w:hanging="307" w:hangingChars="128"/>
        <w:jc w:val="left"/>
        <w:rPr>
          <w:rFonts w:ascii="宋体"/>
          <w:sz w:val="24"/>
        </w:rPr>
      </w:pPr>
      <w:r>
        <w:rPr>
          <w:rFonts w:hint="eastAsia" w:ascii="宋体"/>
          <w:sz w:val="24"/>
        </w:rPr>
        <w:t>活络模具加工精度按下表中要求严格执行：</w:t>
      </w:r>
    </w:p>
    <w:p>
      <w:pPr>
        <w:spacing w:before="240" w:line="380" w:lineRule="exact"/>
        <w:jc w:val="center"/>
        <w:rPr>
          <w:rFonts w:ascii="宋体"/>
          <w:sz w:val="24"/>
        </w:rPr>
      </w:pPr>
      <w:r>
        <w:rPr>
          <w:rFonts w:hint="eastAsia" w:ascii="宋体"/>
          <w:sz w:val="24"/>
        </w:rPr>
        <w:t>表1   外模外部主要尺寸的极限偏差表   单位</w:t>
      </w:r>
      <w:r>
        <w:rPr>
          <w:rFonts w:ascii="宋体"/>
          <w:sz w:val="24"/>
        </w:rPr>
        <w:t>mm</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4948"/>
        <w:gridCol w:w="1021"/>
        <w:gridCol w:w="25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6" w:hRule="atLeast"/>
          <w:jc w:val="center"/>
        </w:trPr>
        <w:tc>
          <w:tcPr>
            <w:tcW w:w="2903"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sz w:val="24"/>
              </w:rPr>
            </w:pPr>
            <w:r>
              <w:rPr>
                <w:rFonts w:hint="eastAsia" w:ascii="宋体"/>
                <w:sz w:val="24"/>
              </w:rPr>
              <w:t>检测项目</w:t>
            </w:r>
          </w:p>
        </w:tc>
        <w:tc>
          <w:tcPr>
            <w:tcW w:w="599" w:type="pct"/>
            <w:tcBorders>
              <w:left w:val="single" w:color="auto" w:sz="4" w:space="0"/>
              <w:bottom w:val="nil"/>
              <w:right w:val="single" w:color="auto" w:sz="4" w:space="0"/>
            </w:tcBorders>
            <w:vAlign w:val="center"/>
          </w:tcPr>
          <w:p>
            <w:pPr>
              <w:spacing w:line="380" w:lineRule="exact"/>
              <w:jc w:val="center"/>
              <w:rPr>
                <w:rFonts w:ascii="宋体"/>
                <w:sz w:val="24"/>
              </w:rPr>
            </w:pPr>
            <w:r>
              <w:rPr>
                <w:rFonts w:hint="eastAsia" w:ascii="宋体"/>
                <w:sz w:val="24"/>
              </w:rPr>
              <w:t>公差带</w:t>
            </w:r>
          </w:p>
        </w:tc>
        <w:tc>
          <w:tcPr>
            <w:tcW w:w="1498"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sz w:val="24"/>
              </w:rPr>
            </w:pPr>
            <w:r>
              <w:rPr>
                <w:rFonts w:hint="eastAsia" w:ascii="宋体"/>
                <w:sz w:val="24"/>
              </w:rPr>
              <w:t>测量工具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3" w:type="pct"/>
            <w:tcBorders>
              <w:top w:val="single" w:color="auto" w:sz="4" w:space="0"/>
            </w:tcBorders>
            <w:vAlign w:val="center"/>
          </w:tcPr>
          <w:p>
            <w:pPr>
              <w:spacing w:line="380" w:lineRule="exact"/>
              <w:jc w:val="center"/>
              <w:rPr>
                <w:rFonts w:ascii="宋体"/>
                <w:sz w:val="24"/>
              </w:rPr>
            </w:pPr>
            <w:r>
              <w:rPr>
                <w:rFonts w:hint="eastAsia" w:ascii="宋体"/>
                <w:sz w:val="24"/>
              </w:rPr>
              <w:t>外模外型直径</w:t>
            </w:r>
          </w:p>
        </w:tc>
        <w:tc>
          <w:tcPr>
            <w:tcW w:w="599" w:type="pct"/>
            <w:tcBorders>
              <w:right w:val="nil"/>
            </w:tcBorders>
            <w:vAlign w:val="center"/>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20</w:t>
            </w:r>
          </w:p>
        </w:tc>
        <w:tc>
          <w:tcPr>
            <w:tcW w:w="1498" w:type="pct"/>
            <w:tcBorders>
              <w:top w:val="single" w:color="auto" w:sz="4" w:space="0"/>
            </w:tcBorders>
            <w:vAlign w:val="center"/>
          </w:tcPr>
          <w:p>
            <w:pPr>
              <w:spacing w:line="380" w:lineRule="exact"/>
              <w:jc w:val="center"/>
              <w:rPr>
                <w:rFonts w:ascii="宋体"/>
                <w:sz w:val="24"/>
              </w:rPr>
            </w:pPr>
            <w:r>
              <w:rPr>
                <w:rFonts w:hint="eastAsia" w:ascii="宋体"/>
                <w:sz w:val="24"/>
              </w:rPr>
              <w:t>游标卡尺等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3" w:type="pct"/>
            <w:vAlign w:val="center"/>
          </w:tcPr>
          <w:p>
            <w:pPr>
              <w:spacing w:line="380" w:lineRule="exact"/>
              <w:jc w:val="center"/>
              <w:rPr>
                <w:rFonts w:ascii="宋体"/>
                <w:sz w:val="24"/>
              </w:rPr>
            </w:pPr>
            <w:r>
              <w:rPr>
                <w:rFonts w:hint="eastAsia" w:ascii="宋体"/>
                <w:sz w:val="24"/>
              </w:rPr>
              <w:t>外模总高度H</w:t>
            </w:r>
          </w:p>
        </w:tc>
        <w:tc>
          <w:tcPr>
            <w:tcW w:w="599" w:type="pct"/>
            <w:vAlign w:val="center"/>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20</w:t>
            </w:r>
          </w:p>
        </w:tc>
        <w:tc>
          <w:tcPr>
            <w:tcW w:w="1498" w:type="pct"/>
            <w:vAlign w:val="center"/>
          </w:tcPr>
          <w:p>
            <w:pPr>
              <w:spacing w:line="380" w:lineRule="exact"/>
              <w:jc w:val="center"/>
              <w:rPr>
                <w:rFonts w:ascii="宋体"/>
                <w:sz w:val="24"/>
              </w:rPr>
            </w:pPr>
            <w:r>
              <w:rPr>
                <w:rFonts w:hint="eastAsia" w:ascii="宋体"/>
                <w:sz w:val="24"/>
              </w:rPr>
              <w:t>游标卡尺、高度尺等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3" w:type="pct"/>
            <w:vAlign w:val="center"/>
          </w:tcPr>
          <w:p>
            <w:pPr>
              <w:spacing w:line="380" w:lineRule="exact"/>
              <w:jc w:val="center"/>
              <w:rPr>
                <w:rFonts w:ascii="宋体"/>
                <w:sz w:val="24"/>
              </w:rPr>
            </w:pPr>
            <w:r>
              <w:rPr>
                <w:rFonts w:hint="eastAsia" w:ascii="宋体"/>
                <w:sz w:val="24"/>
              </w:rPr>
              <w:t>上模（或模套）装配固定螺孔(4个或8个)中心距</w:t>
            </w:r>
          </w:p>
        </w:tc>
        <w:tc>
          <w:tcPr>
            <w:tcW w:w="599" w:type="pct"/>
            <w:vAlign w:val="center"/>
          </w:tcPr>
          <w:p>
            <w:pPr>
              <w:spacing w:line="380" w:lineRule="exact"/>
              <w:jc w:val="center"/>
              <w:rPr>
                <w:rFonts w:ascii="宋体"/>
                <w:sz w:val="24"/>
              </w:rPr>
            </w:pPr>
            <w:r>
              <w:rPr>
                <w:rFonts w:hint="eastAsia" w:ascii="宋体"/>
                <w:sz w:val="24"/>
              </w:rPr>
              <w:t>±</w:t>
            </w:r>
            <w:r>
              <w:rPr>
                <w:rFonts w:ascii="宋体"/>
                <w:sz w:val="24"/>
              </w:rPr>
              <w:t>0.50</w:t>
            </w:r>
          </w:p>
        </w:tc>
        <w:tc>
          <w:tcPr>
            <w:tcW w:w="1498" w:type="pct"/>
            <w:vAlign w:val="center"/>
          </w:tcPr>
          <w:p>
            <w:pPr>
              <w:spacing w:line="380" w:lineRule="exact"/>
              <w:jc w:val="center"/>
              <w:rPr>
                <w:rFonts w:ascii="宋体"/>
                <w:sz w:val="24"/>
              </w:rPr>
            </w:pPr>
            <w:r>
              <w:rPr>
                <w:rFonts w:hint="eastAsia" w:ascii="宋体"/>
                <w:sz w:val="24"/>
              </w:rPr>
              <w:t>游标卡尺等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2903" w:type="pct"/>
            <w:vAlign w:val="center"/>
          </w:tcPr>
          <w:p>
            <w:pPr>
              <w:spacing w:line="380" w:lineRule="exact"/>
              <w:jc w:val="center"/>
              <w:rPr>
                <w:rFonts w:ascii="宋体"/>
                <w:sz w:val="24"/>
              </w:rPr>
            </w:pPr>
            <w:r>
              <w:rPr>
                <w:rFonts w:hint="eastAsia" w:ascii="宋体"/>
                <w:sz w:val="24"/>
              </w:rPr>
              <w:t>定位件结合面间隙</w:t>
            </w:r>
          </w:p>
        </w:tc>
        <w:tc>
          <w:tcPr>
            <w:tcW w:w="599" w:type="pct"/>
            <w:vAlign w:val="center"/>
          </w:tcPr>
          <w:p>
            <w:pPr>
              <w:spacing w:line="380" w:lineRule="exact"/>
              <w:jc w:val="center"/>
              <w:rPr>
                <w:rFonts w:ascii="宋体"/>
                <w:sz w:val="24"/>
              </w:rPr>
            </w:pPr>
            <w:r>
              <w:rPr>
                <w:rFonts w:hint="eastAsia" w:ascii="宋体"/>
                <w:sz w:val="24"/>
              </w:rPr>
              <w:t>≤</w:t>
            </w:r>
            <w:r>
              <w:rPr>
                <w:rFonts w:ascii="宋体"/>
                <w:sz w:val="24"/>
              </w:rPr>
              <w:t>0.10</w:t>
            </w:r>
          </w:p>
        </w:tc>
        <w:tc>
          <w:tcPr>
            <w:tcW w:w="1498" w:type="pct"/>
            <w:vAlign w:val="center"/>
          </w:tcPr>
          <w:p>
            <w:pPr>
              <w:spacing w:line="380" w:lineRule="exact"/>
              <w:jc w:val="center"/>
              <w:rPr>
                <w:rFonts w:ascii="宋体"/>
                <w:sz w:val="24"/>
              </w:rPr>
            </w:pPr>
            <w:r>
              <w:rPr>
                <w:rFonts w:hint="eastAsia" w:ascii="宋体"/>
                <w:sz w:val="24"/>
              </w:rPr>
              <w:t>塞尺、游标卡尺等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3" w:type="pct"/>
            <w:vAlign w:val="center"/>
          </w:tcPr>
          <w:p>
            <w:pPr>
              <w:spacing w:line="380" w:lineRule="exact"/>
              <w:jc w:val="center"/>
              <w:rPr>
                <w:rFonts w:ascii="宋体"/>
                <w:sz w:val="24"/>
              </w:rPr>
            </w:pPr>
            <w:r>
              <w:rPr>
                <w:rFonts w:hint="eastAsia" w:ascii="宋体"/>
                <w:sz w:val="24"/>
              </w:rPr>
              <w:t>模具上、下面平面度</w:t>
            </w:r>
          </w:p>
        </w:tc>
        <w:tc>
          <w:tcPr>
            <w:tcW w:w="599" w:type="pct"/>
            <w:vAlign w:val="center"/>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15</w:t>
            </w:r>
          </w:p>
        </w:tc>
        <w:tc>
          <w:tcPr>
            <w:tcW w:w="1498" w:type="pct"/>
            <w:vAlign w:val="center"/>
          </w:tcPr>
          <w:p>
            <w:pPr>
              <w:spacing w:line="380" w:lineRule="exact"/>
              <w:jc w:val="center"/>
              <w:rPr>
                <w:rFonts w:ascii="宋体"/>
                <w:sz w:val="24"/>
              </w:rPr>
            </w:pPr>
            <w:r>
              <w:rPr>
                <w:rFonts w:hint="eastAsia" w:ascii="宋体"/>
                <w:sz w:val="24"/>
              </w:rPr>
              <w:t>专用直尺等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903" w:type="pct"/>
            <w:vAlign w:val="center"/>
          </w:tcPr>
          <w:p>
            <w:pPr>
              <w:spacing w:line="380" w:lineRule="exact"/>
              <w:jc w:val="center"/>
              <w:rPr>
                <w:rFonts w:ascii="宋体"/>
                <w:sz w:val="24"/>
              </w:rPr>
            </w:pPr>
            <w:r>
              <w:rPr>
                <w:rFonts w:hint="eastAsia" w:ascii="宋体"/>
                <w:sz w:val="24"/>
              </w:rPr>
              <w:t>外模上、下面平行度</w:t>
            </w:r>
          </w:p>
        </w:tc>
        <w:tc>
          <w:tcPr>
            <w:tcW w:w="599" w:type="pct"/>
            <w:vAlign w:val="center"/>
          </w:tcPr>
          <w:p>
            <w:pPr>
              <w:spacing w:line="380" w:lineRule="exact"/>
              <w:jc w:val="center"/>
              <w:rPr>
                <w:rFonts w:ascii="宋体"/>
                <w:sz w:val="24"/>
              </w:rPr>
            </w:pPr>
            <w:r>
              <w:rPr>
                <w:rFonts w:hint="eastAsia" w:ascii="宋体"/>
                <w:sz w:val="24"/>
              </w:rPr>
              <w:t>≤</w:t>
            </w:r>
            <w:r>
              <w:rPr>
                <w:rFonts w:ascii="宋体"/>
                <w:sz w:val="24"/>
              </w:rPr>
              <w:t>0.30</w:t>
            </w:r>
          </w:p>
        </w:tc>
        <w:tc>
          <w:tcPr>
            <w:tcW w:w="1498" w:type="pct"/>
            <w:vAlign w:val="center"/>
          </w:tcPr>
          <w:p>
            <w:pPr>
              <w:spacing w:line="380" w:lineRule="exact"/>
              <w:jc w:val="center"/>
              <w:rPr>
                <w:rFonts w:ascii="宋体"/>
                <w:sz w:val="24"/>
              </w:rPr>
            </w:pPr>
            <w:r>
              <w:rPr>
                <w:rFonts w:hint="eastAsia" w:ascii="宋体"/>
                <w:sz w:val="24"/>
              </w:rPr>
              <w:t>带指示器的测量架、平板</w:t>
            </w:r>
          </w:p>
        </w:tc>
      </w:tr>
    </w:tbl>
    <w:p>
      <w:pPr>
        <w:spacing w:before="240" w:line="380" w:lineRule="exact"/>
        <w:jc w:val="center"/>
        <w:rPr>
          <w:rFonts w:ascii="宋体"/>
          <w:sz w:val="24"/>
        </w:rPr>
      </w:pPr>
      <w:r>
        <w:rPr>
          <w:rFonts w:hint="eastAsia" w:ascii="宋体"/>
          <w:sz w:val="24"/>
        </w:rPr>
        <w:t>表2   活络模的花纹块组装后，各分型面间隙要求   单位</w:t>
      </w:r>
      <w:r>
        <w:rPr>
          <w:rFonts w:ascii="宋体"/>
          <w:sz w:val="24"/>
        </w:rPr>
        <w:t>mm</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299"/>
        <w:gridCol w:w="1314"/>
        <w:gridCol w:w="1807"/>
        <w:gridCol w:w="31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 w:hRule="atLeast"/>
          <w:jc w:val="center"/>
        </w:trPr>
        <w:tc>
          <w:tcPr>
            <w:tcW w:w="1349"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sz w:val="24"/>
              </w:rPr>
            </w:pPr>
            <w:r>
              <w:rPr>
                <w:rFonts w:hint="eastAsia" w:ascii="宋体"/>
                <w:sz w:val="24"/>
              </w:rPr>
              <w:t>检测项目</w:t>
            </w:r>
          </w:p>
        </w:tc>
        <w:tc>
          <w:tcPr>
            <w:tcW w:w="771" w:type="pct"/>
            <w:tcBorders>
              <w:left w:val="single" w:color="auto" w:sz="4" w:space="0"/>
              <w:bottom w:val="nil"/>
              <w:right w:val="single" w:color="auto" w:sz="4" w:space="0"/>
            </w:tcBorders>
            <w:vAlign w:val="center"/>
          </w:tcPr>
          <w:p>
            <w:pPr>
              <w:spacing w:line="380" w:lineRule="exact"/>
              <w:jc w:val="center"/>
              <w:rPr>
                <w:rFonts w:ascii="宋体"/>
                <w:sz w:val="24"/>
              </w:rPr>
            </w:pPr>
            <w:r>
              <w:rPr>
                <w:rFonts w:hint="eastAsia" w:ascii="宋体"/>
                <w:sz w:val="24"/>
              </w:rPr>
              <w:t>公</w:t>
            </w:r>
            <w:r>
              <w:rPr>
                <w:rFonts w:ascii="宋体"/>
                <w:sz w:val="24"/>
              </w:rPr>
              <w:t xml:space="preserve"> </w:t>
            </w:r>
            <w:r>
              <w:rPr>
                <w:rFonts w:hint="eastAsia" w:ascii="宋体"/>
                <w:sz w:val="24"/>
              </w:rPr>
              <w:t>差 带</w:t>
            </w:r>
          </w:p>
        </w:tc>
        <w:tc>
          <w:tcPr>
            <w:tcW w:w="1060" w:type="pct"/>
            <w:tcBorders>
              <w:left w:val="single" w:color="auto" w:sz="4" w:space="0"/>
              <w:bottom w:val="nil"/>
              <w:right w:val="single" w:color="auto" w:sz="4" w:space="0"/>
            </w:tcBorders>
            <w:vAlign w:val="center"/>
          </w:tcPr>
          <w:p>
            <w:pPr>
              <w:spacing w:line="380" w:lineRule="exact"/>
              <w:jc w:val="center"/>
              <w:rPr>
                <w:rFonts w:ascii="宋体"/>
                <w:sz w:val="24"/>
              </w:rPr>
            </w:pPr>
            <w:r>
              <w:rPr>
                <w:rFonts w:hint="eastAsia" w:ascii="宋体"/>
                <w:sz w:val="24"/>
              </w:rPr>
              <w:t>总间隙值</w:t>
            </w:r>
          </w:p>
        </w:tc>
        <w:tc>
          <w:tcPr>
            <w:tcW w:w="1820"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sz w:val="24"/>
              </w:rPr>
            </w:pPr>
            <w:r>
              <w:rPr>
                <w:rFonts w:hint="eastAsia" w:ascii="宋体"/>
                <w:sz w:val="24"/>
              </w:rPr>
              <w:t>测量工具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349" w:type="pct"/>
            <w:tcBorders>
              <w:top w:val="single" w:color="auto" w:sz="4" w:space="0"/>
            </w:tcBorders>
            <w:vAlign w:val="center"/>
          </w:tcPr>
          <w:p>
            <w:pPr>
              <w:spacing w:line="380" w:lineRule="exact"/>
              <w:rPr>
                <w:rFonts w:ascii="宋体"/>
                <w:sz w:val="24"/>
              </w:rPr>
            </w:pPr>
            <w:r>
              <w:rPr>
                <w:rFonts w:hint="eastAsia" w:ascii="宋体"/>
                <w:sz w:val="24"/>
              </w:rPr>
              <w:t>花纹块分型面间隙</w:t>
            </w:r>
          </w:p>
        </w:tc>
        <w:tc>
          <w:tcPr>
            <w:tcW w:w="771" w:type="pct"/>
            <w:tcBorders>
              <w:right w:val="nil"/>
            </w:tcBorders>
            <w:vAlign w:val="center"/>
          </w:tcPr>
          <w:p>
            <w:pPr>
              <w:spacing w:line="380" w:lineRule="exact"/>
              <w:jc w:val="center"/>
              <w:rPr>
                <w:rFonts w:ascii="宋体"/>
                <w:sz w:val="24"/>
              </w:rPr>
            </w:pPr>
            <w:r>
              <w:rPr>
                <w:rFonts w:hint="eastAsia" w:ascii="宋体"/>
                <w:sz w:val="24"/>
              </w:rPr>
              <w:t>≤</w:t>
            </w:r>
            <w:r>
              <w:rPr>
                <w:rFonts w:ascii="宋体"/>
                <w:sz w:val="24"/>
              </w:rPr>
              <w:t>0.05</w:t>
            </w:r>
          </w:p>
        </w:tc>
        <w:tc>
          <w:tcPr>
            <w:tcW w:w="1060" w:type="pct"/>
            <w:tcBorders>
              <w:right w:val="nil"/>
            </w:tcBorders>
            <w:vAlign w:val="center"/>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820" w:type="pct"/>
            <w:tcBorders>
              <w:top w:val="single" w:color="auto" w:sz="4" w:space="0"/>
            </w:tcBorders>
            <w:vAlign w:val="center"/>
          </w:tcPr>
          <w:p>
            <w:pPr>
              <w:spacing w:line="380" w:lineRule="exact"/>
              <w:rPr>
                <w:rFonts w:ascii="宋体"/>
                <w:sz w:val="24"/>
              </w:rPr>
            </w:pPr>
            <w:r>
              <w:rPr>
                <w:rFonts w:hint="eastAsia" w:ascii="宋体"/>
                <w:sz w:val="24"/>
              </w:rPr>
              <w:t>塞尺、产品检测无胶边等</w:t>
            </w:r>
          </w:p>
        </w:tc>
      </w:tr>
    </w:tbl>
    <w:p>
      <w:pPr>
        <w:spacing w:before="240" w:line="380" w:lineRule="exact"/>
        <w:jc w:val="center"/>
        <w:rPr>
          <w:rFonts w:ascii="宋体"/>
          <w:sz w:val="24"/>
        </w:rPr>
      </w:pPr>
      <w:r>
        <w:rPr>
          <w:rFonts w:hint="eastAsia" w:ascii="宋体"/>
          <w:sz w:val="24"/>
        </w:rPr>
        <w:t>表3   外模型腔各部位主要尺寸的极限偏差表    单位:</w:t>
      </w:r>
      <w:r>
        <w:rPr>
          <w:rFonts w:ascii="宋体"/>
          <w:sz w:val="24"/>
        </w:rPr>
        <w:t>mm</w:t>
      </w:r>
    </w:p>
    <w:tbl>
      <w:tblPr>
        <w:tblStyle w:val="8"/>
        <w:tblW w:w="5000" w:type="pct"/>
        <w:jc w:val="center"/>
        <w:tblLayout w:type="autofit"/>
        <w:tblCellMar>
          <w:top w:w="0" w:type="dxa"/>
          <w:left w:w="108" w:type="dxa"/>
          <w:bottom w:w="0" w:type="dxa"/>
          <w:right w:w="108" w:type="dxa"/>
        </w:tblCellMar>
      </w:tblPr>
      <w:tblGrid>
        <w:gridCol w:w="3551"/>
        <w:gridCol w:w="2117"/>
        <w:gridCol w:w="2854"/>
      </w:tblGrid>
      <w:tr>
        <w:tblPrEx>
          <w:tblCellMar>
            <w:top w:w="0" w:type="dxa"/>
            <w:left w:w="108" w:type="dxa"/>
            <w:bottom w:w="0" w:type="dxa"/>
            <w:right w:w="108" w:type="dxa"/>
          </w:tblCellMar>
        </w:tblPrEx>
        <w:trPr>
          <w:cantSplit/>
          <w:trHeight w:val="272" w:hRule="atLeast"/>
          <w:jc w:val="center"/>
        </w:trPr>
        <w:tc>
          <w:tcPr>
            <w:tcW w:w="2083" w:type="pct"/>
            <w:tcBorders>
              <w:top w:val="single" w:color="auto" w:sz="6" w:space="0"/>
              <w:left w:val="single" w:color="auto" w:sz="6" w:space="0"/>
              <w:bottom w:val="single" w:color="auto" w:sz="4" w:space="0"/>
              <w:right w:val="single" w:color="auto" w:sz="6" w:space="0"/>
            </w:tcBorders>
            <w:vAlign w:val="center"/>
          </w:tcPr>
          <w:p>
            <w:pPr>
              <w:spacing w:line="380" w:lineRule="exact"/>
              <w:jc w:val="center"/>
              <w:rPr>
                <w:rFonts w:ascii="宋体"/>
                <w:sz w:val="24"/>
              </w:rPr>
            </w:pPr>
            <w:r>
              <w:rPr>
                <w:rFonts w:hint="eastAsia" w:ascii="宋体"/>
                <w:sz w:val="24"/>
              </w:rPr>
              <w:t>检测项目</w:t>
            </w:r>
          </w:p>
        </w:tc>
        <w:tc>
          <w:tcPr>
            <w:tcW w:w="1242" w:type="pct"/>
            <w:tcBorders>
              <w:top w:val="single" w:color="auto" w:sz="6" w:space="0"/>
              <w:left w:val="nil"/>
              <w:bottom w:val="single" w:color="auto" w:sz="4" w:space="0"/>
              <w:right w:val="single" w:color="auto" w:sz="4" w:space="0"/>
            </w:tcBorders>
            <w:vAlign w:val="center"/>
          </w:tcPr>
          <w:p>
            <w:pPr>
              <w:spacing w:line="380" w:lineRule="exact"/>
              <w:jc w:val="center"/>
              <w:rPr>
                <w:rFonts w:ascii="宋体"/>
                <w:sz w:val="24"/>
              </w:rPr>
            </w:pPr>
            <w:r>
              <w:rPr>
                <w:rFonts w:hint="eastAsia" w:ascii="宋体"/>
                <w:sz w:val="24"/>
              </w:rPr>
              <w:t>公</w:t>
            </w:r>
            <w:r>
              <w:rPr>
                <w:rFonts w:ascii="宋体"/>
                <w:sz w:val="24"/>
              </w:rPr>
              <w:t xml:space="preserve"> </w:t>
            </w:r>
            <w:r>
              <w:rPr>
                <w:rFonts w:hint="eastAsia" w:ascii="宋体"/>
                <w:sz w:val="24"/>
              </w:rPr>
              <w:t>差 带</w:t>
            </w:r>
          </w:p>
        </w:tc>
        <w:tc>
          <w:tcPr>
            <w:tcW w:w="167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sz w:val="24"/>
              </w:rPr>
            </w:pPr>
            <w:r>
              <w:rPr>
                <w:rFonts w:hint="eastAsia" w:ascii="宋体"/>
                <w:sz w:val="24"/>
              </w:rPr>
              <w:t>测量工具、方法</w:t>
            </w:r>
          </w:p>
        </w:tc>
      </w:tr>
      <w:tr>
        <w:tblPrEx>
          <w:tblCellMar>
            <w:top w:w="0" w:type="dxa"/>
            <w:left w:w="108" w:type="dxa"/>
            <w:bottom w:w="0" w:type="dxa"/>
            <w:right w:w="108" w:type="dxa"/>
          </w:tblCellMar>
        </w:tblPrEx>
        <w:trPr>
          <w:jc w:val="center"/>
        </w:trPr>
        <w:tc>
          <w:tcPr>
            <w:tcW w:w="2083" w:type="pct"/>
            <w:tcBorders>
              <w:top w:val="single" w:color="auto" w:sz="4" w:space="0"/>
              <w:left w:val="single" w:color="auto" w:sz="4" w:space="0"/>
              <w:bottom w:val="single" w:color="auto" w:sz="4" w:space="0"/>
              <w:right w:val="single" w:color="auto" w:sz="4" w:space="0"/>
            </w:tcBorders>
          </w:tcPr>
          <w:p>
            <w:pPr>
              <w:spacing w:line="380" w:lineRule="exact"/>
              <w:jc w:val="center"/>
              <w:rPr>
                <w:rFonts w:ascii="宋体"/>
                <w:sz w:val="24"/>
              </w:rPr>
            </w:pPr>
            <w:r>
              <w:rPr>
                <w:rFonts w:hint="eastAsia" w:ascii="宋体"/>
                <w:sz w:val="24"/>
              </w:rPr>
              <w:t>型腔外径</w:t>
            </w:r>
          </w:p>
        </w:tc>
        <w:tc>
          <w:tcPr>
            <w:tcW w:w="1242" w:type="pct"/>
            <w:tcBorders>
              <w:top w:val="single" w:color="auto" w:sz="4" w:space="0"/>
              <w:left w:val="single" w:color="auto" w:sz="4" w:space="0"/>
              <w:bottom w:val="single" w:color="auto" w:sz="4" w:space="0"/>
              <w:right w:val="single" w:color="auto" w:sz="4"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674" w:type="pct"/>
            <w:tcBorders>
              <w:top w:val="single" w:color="auto" w:sz="4" w:space="0"/>
              <w:left w:val="single" w:color="auto" w:sz="4" w:space="0"/>
              <w:right w:val="single" w:color="auto" w:sz="6" w:space="0"/>
            </w:tcBorders>
          </w:tcPr>
          <w:p>
            <w:pPr>
              <w:spacing w:line="380" w:lineRule="exact"/>
              <w:jc w:val="center"/>
              <w:rPr>
                <w:rFonts w:ascii="宋体"/>
                <w:sz w:val="24"/>
              </w:rPr>
            </w:pPr>
            <w:r>
              <w:rPr>
                <w:rFonts w:hint="eastAsia" w:ascii="宋体"/>
                <w:sz w:val="24"/>
              </w:rPr>
              <w:t>游标卡尺</w:t>
            </w:r>
          </w:p>
        </w:tc>
      </w:tr>
      <w:tr>
        <w:tblPrEx>
          <w:tblCellMar>
            <w:top w:w="0" w:type="dxa"/>
            <w:left w:w="108" w:type="dxa"/>
            <w:bottom w:w="0" w:type="dxa"/>
            <w:right w:w="108" w:type="dxa"/>
          </w:tblCellMar>
        </w:tblPrEx>
        <w:trPr>
          <w:jc w:val="center"/>
        </w:trPr>
        <w:tc>
          <w:tcPr>
            <w:tcW w:w="2083" w:type="pct"/>
            <w:tcBorders>
              <w:top w:val="single" w:color="auto" w:sz="4"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断面宽度</w:t>
            </w:r>
          </w:p>
        </w:tc>
        <w:tc>
          <w:tcPr>
            <w:tcW w:w="1242" w:type="pct"/>
            <w:tcBorders>
              <w:top w:val="single" w:color="auto" w:sz="4"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深度尺等</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着合宽度</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05</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深度尺等</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着合直径</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05</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样板</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sz w:val="24"/>
              </w:rPr>
            </w:pPr>
            <w:r>
              <w:rPr>
                <w:rFonts w:hint="eastAsia" w:ascii="宋体"/>
                <w:sz w:val="24"/>
              </w:rPr>
              <w:t>磨耗标记深度</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+0.20</w:t>
            </w:r>
          </w:p>
          <w:p>
            <w:pPr>
              <w:spacing w:line="380" w:lineRule="exact"/>
              <w:jc w:val="center"/>
              <w:rPr>
                <w:rFonts w:ascii="宋体"/>
                <w:sz w:val="24"/>
              </w:rPr>
            </w:pPr>
            <w:r>
              <w:rPr>
                <w:rFonts w:hint="eastAsia" w:ascii="宋体"/>
                <w:sz w:val="24"/>
              </w:rPr>
              <w:t>-0</w:t>
            </w:r>
          </w:p>
        </w:tc>
        <w:tc>
          <w:tcPr>
            <w:tcW w:w="1674" w:type="pct"/>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sz w:val="24"/>
              </w:rPr>
            </w:pPr>
            <w:r>
              <w:rPr>
                <w:rFonts w:hint="eastAsia" w:ascii="宋体"/>
                <w:sz w:val="24"/>
              </w:rPr>
              <w:t>样板、游标卡尺</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断面曲线间隙</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样板</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型腔外径合模错位量</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卡尺或产品测量</w:t>
            </w:r>
          </w:p>
        </w:tc>
      </w:tr>
      <w:tr>
        <w:tblPrEx>
          <w:tblCellMar>
            <w:top w:w="0" w:type="dxa"/>
            <w:left w:w="108" w:type="dxa"/>
            <w:bottom w:w="0" w:type="dxa"/>
            <w:right w:w="108" w:type="dxa"/>
          </w:tblCellMar>
        </w:tblPrEx>
        <w:trPr>
          <w:cantSplit/>
          <w:trHeight w:val="180" w:hRule="atLeast"/>
          <w:jc w:val="center"/>
        </w:trPr>
        <w:tc>
          <w:tcPr>
            <w:tcW w:w="2083" w:type="pct"/>
            <w:tcBorders>
              <w:top w:val="single" w:color="auto" w:sz="6" w:space="0"/>
              <w:left w:val="single" w:color="auto" w:sz="6" w:space="0"/>
              <w:right w:val="single" w:color="auto" w:sz="4" w:space="0"/>
            </w:tcBorders>
          </w:tcPr>
          <w:p>
            <w:pPr>
              <w:spacing w:line="380" w:lineRule="exact"/>
              <w:jc w:val="center"/>
              <w:rPr>
                <w:rFonts w:ascii="宋体"/>
                <w:sz w:val="24"/>
              </w:rPr>
            </w:pPr>
            <w:r>
              <w:rPr>
                <w:rFonts w:hint="eastAsia" w:ascii="宋体"/>
                <w:sz w:val="24"/>
              </w:rPr>
              <w:t>对接花纹合模错位量</w:t>
            </w:r>
          </w:p>
        </w:tc>
        <w:tc>
          <w:tcPr>
            <w:tcW w:w="1242" w:type="pct"/>
            <w:tcBorders>
              <w:top w:val="single" w:color="auto" w:sz="6" w:space="0"/>
              <w:left w:val="single" w:color="auto" w:sz="4"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0.10</w:t>
            </w:r>
          </w:p>
        </w:tc>
        <w:tc>
          <w:tcPr>
            <w:tcW w:w="1674" w:type="pct"/>
            <w:tcBorders>
              <w:top w:val="single" w:color="auto" w:sz="6" w:space="0"/>
              <w:left w:val="single" w:color="auto" w:sz="6" w:space="0"/>
              <w:bottom w:val="nil"/>
              <w:right w:val="single" w:color="auto" w:sz="6" w:space="0"/>
            </w:tcBorders>
            <w:vAlign w:val="center"/>
          </w:tcPr>
          <w:p>
            <w:pPr>
              <w:spacing w:line="380" w:lineRule="exact"/>
              <w:jc w:val="center"/>
              <w:rPr>
                <w:rFonts w:ascii="宋体"/>
                <w:sz w:val="24"/>
              </w:rPr>
            </w:pPr>
            <w:r>
              <w:rPr>
                <w:rFonts w:hint="eastAsia" w:ascii="宋体"/>
                <w:sz w:val="24"/>
              </w:rPr>
              <w:t>卡尺或产品测量</w:t>
            </w:r>
          </w:p>
        </w:tc>
      </w:tr>
      <w:tr>
        <w:tblPrEx>
          <w:tblCellMar>
            <w:top w:w="0" w:type="dxa"/>
            <w:left w:w="108" w:type="dxa"/>
            <w:bottom w:w="0" w:type="dxa"/>
            <w:right w:w="108" w:type="dxa"/>
          </w:tblCellMar>
        </w:tblPrEx>
        <w:trPr>
          <w:cantSplit/>
          <w:trHeight w:val="180" w:hRule="atLeast"/>
          <w:jc w:val="center"/>
        </w:trPr>
        <w:tc>
          <w:tcPr>
            <w:tcW w:w="2083" w:type="pct"/>
            <w:tcBorders>
              <w:top w:val="single" w:color="auto" w:sz="6" w:space="0"/>
              <w:left w:val="single" w:color="auto" w:sz="6" w:space="0"/>
              <w:bottom w:val="nil"/>
              <w:right w:val="single" w:color="auto" w:sz="4" w:space="0"/>
            </w:tcBorders>
          </w:tcPr>
          <w:p>
            <w:pPr>
              <w:spacing w:line="380" w:lineRule="exact"/>
              <w:jc w:val="center"/>
              <w:rPr>
                <w:rFonts w:ascii="宋体"/>
                <w:sz w:val="24"/>
              </w:rPr>
            </w:pPr>
            <w:r>
              <w:rPr>
                <w:rFonts w:hint="eastAsia" w:ascii="宋体"/>
                <w:sz w:val="24"/>
              </w:rPr>
              <w:t>非对接花纹合模错位量</w:t>
            </w:r>
          </w:p>
        </w:tc>
        <w:tc>
          <w:tcPr>
            <w:tcW w:w="1242" w:type="pct"/>
            <w:tcBorders>
              <w:top w:val="single" w:color="auto" w:sz="6" w:space="0"/>
              <w:left w:val="nil"/>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0.20</w:t>
            </w:r>
          </w:p>
        </w:tc>
        <w:tc>
          <w:tcPr>
            <w:tcW w:w="1674" w:type="pct"/>
            <w:tcBorders>
              <w:top w:val="single" w:color="auto" w:sz="6" w:space="0"/>
              <w:left w:val="single" w:color="auto" w:sz="6" w:space="0"/>
              <w:bottom w:val="nil"/>
              <w:right w:val="single" w:color="auto" w:sz="6" w:space="0"/>
            </w:tcBorders>
            <w:vAlign w:val="center"/>
          </w:tcPr>
          <w:p>
            <w:pPr>
              <w:spacing w:line="380" w:lineRule="exact"/>
              <w:jc w:val="center"/>
              <w:rPr>
                <w:rFonts w:ascii="宋体"/>
                <w:sz w:val="24"/>
              </w:rPr>
            </w:pPr>
            <w:r>
              <w:rPr>
                <w:rFonts w:hint="eastAsia" w:ascii="宋体"/>
                <w:sz w:val="24"/>
              </w:rPr>
              <w:t>卡尺或产品测量</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对接花纹间距</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游标卡尺</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非对接花纹间距</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30</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游标卡尺</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花纹侧面间隙</w:t>
            </w:r>
          </w:p>
        </w:tc>
        <w:tc>
          <w:tcPr>
            <w:tcW w:w="1242"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674"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样板</w:t>
            </w:r>
          </w:p>
        </w:tc>
      </w:tr>
      <w:tr>
        <w:tblPrEx>
          <w:tblCellMar>
            <w:top w:w="0" w:type="dxa"/>
            <w:left w:w="108" w:type="dxa"/>
            <w:bottom w:w="0" w:type="dxa"/>
            <w:right w:w="108" w:type="dxa"/>
          </w:tblCellMar>
        </w:tblPrEx>
        <w:trPr>
          <w:jc w:val="center"/>
        </w:trPr>
        <w:tc>
          <w:tcPr>
            <w:tcW w:w="2083" w:type="pct"/>
            <w:tcBorders>
              <w:top w:val="single" w:color="auto" w:sz="6" w:space="0"/>
              <w:left w:val="single" w:color="auto" w:sz="6" w:space="0"/>
              <w:bottom w:val="single" w:color="auto" w:sz="6" w:space="0"/>
              <w:right w:val="single" w:color="auto" w:sz="6" w:space="0"/>
            </w:tcBorders>
          </w:tcPr>
          <w:p>
            <w:pPr>
              <w:spacing w:line="380" w:lineRule="exact"/>
              <w:jc w:val="center"/>
              <w:rPr>
                <w:rFonts w:ascii="宋体"/>
                <w:sz w:val="24"/>
              </w:rPr>
            </w:pPr>
            <w:r>
              <w:rPr>
                <w:rFonts w:hint="eastAsia" w:ascii="宋体"/>
                <w:sz w:val="24"/>
              </w:rPr>
              <w:t>花纹块高度</w:t>
            </w:r>
          </w:p>
        </w:tc>
        <w:tc>
          <w:tcPr>
            <w:tcW w:w="1242" w:type="pct"/>
            <w:tcBorders>
              <w:top w:val="single" w:color="auto" w:sz="6" w:space="0"/>
              <w:left w:val="single" w:color="auto" w:sz="6" w:space="0"/>
              <w:bottom w:val="single" w:color="auto" w:sz="4" w:space="0"/>
              <w:right w:val="single" w:color="auto" w:sz="6" w:space="0"/>
            </w:tcBorders>
          </w:tcPr>
          <w:p>
            <w:pPr>
              <w:spacing w:line="380" w:lineRule="exact"/>
              <w:jc w:val="center"/>
              <w:rPr>
                <w:rFonts w:ascii="宋体"/>
                <w:sz w:val="24"/>
              </w:rPr>
            </w:pPr>
            <w:r>
              <w:rPr>
                <w:rFonts w:hint="eastAsia" w:ascii="宋体"/>
                <w:color w:val="000000"/>
                <w:sz w:val="24"/>
              </w:rPr>
              <w:t>-0.3~-0.4</w:t>
            </w:r>
          </w:p>
        </w:tc>
        <w:tc>
          <w:tcPr>
            <w:tcW w:w="1674" w:type="pct"/>
            <w:tcBorders>
              <w:top w:val="single" w:color="auto" w:sz="6" w:space="0"/>
              <w:left w:val="single" w:color="auto" w:sz="6" w:space="0"/>
              <w:bottom w:val="single" w:color="auto" w:sz="4" w:space="0"/>
              <w:right w:val="single" w:color="auto" w:sz="6" w:space="0"/>
            </w:tcBorders>
          </w:tcPr>
          <w:p>
            <w:pPr>
              <w:spacing w:line="380" w:lineRule="exact"/>
              <w:jc w:val="center"/>
              <w:rPr>
                <w:rFonts w:ascii="宋体"/>
                <w:sz w:val="24"/>
              </w:rPr>
            </w:pPr>
            <w:r>
              <w:rPr>
                <w:rFonts w:hint="eastAsia" w:ascii="宋体"/>
                <w:sz w:val="24"/>
              </w:rPr>
              <w:t>样板、深度尺</w:t>
            </w:r>
          </w:p>
        </w:tc>
      </w:tr>
      <w:tr>
        <w:tblPrEx>
          <w:tblCellMar>
            <w:top w:w="0" w:type="dxa"/>
            <w:left w:w="108" w:type="dxa"/>
            <w:bottom w:w="0" w:type="dxa"/>
            <w:right w:w="108" w:type="dxa"/>
          </w:tblCellMar>
        </w:tblPrEx>
        <w:trPr>
          <w:cantSplit/>
          <w:trHeight w:val="120" w:hRule="atLeast"/>
          <w:jc w:val="center"/>
        </w:trPr>
        <w:tc>
          <w:tcPr>
            <w:tcW w:w="2083" w:type="pct"/>
            <w:tcBorders>
              <w:top w:val="single" w:color="auto" w:sz="6" w:space="0"/>
              <w:left w:val="single" w:color="auto" w:sz="6" w:space="0"/>
              <w:right w:val="single" w:color="auto" w:sz="4" w:space="0"/>
            </w:tcBorders>
            <w:vAlign w:val="center"/>
          </w:tcPr>
          <w:p>
            <w:pPr>
              <w:spacing w:line="380" w:lineRule="exact"/>
              <w:jc w:val="center"/>
              <w:rPr>
                <w:rFonts w:ascii="宋体"/>
                <w:sz w:val="24"/>
              </w:rPr>
            </w:pPr>
            <w:r>
              <w:rPr>
                <w:rFonts w:hint="eastAsia" w:ascii="宋体"/>
                <w:sz w:val="24"/>
              </w:rPr>
              <w:t>型腔胎冠部位圆度值</w:t>
            </w:r>
          </w:p>
        </w:tc>
        <w:tc>
          <w:tcPr>
            <w:tcW w:w="1242" w:type="pct"/>
            <w:tcBorders>
              <w:top w:val="single" w:color="auto" w:sz="4" w:space="0"/>
              <w:left w:val="single" w:color="auto" w:sz="4" w:space="0"/>
              <w:bottom w:val="single" w:color="auto" w:sz="4" w:space="0"/>
              <w:right w:val="single" w:color="auto" w:sz="4" w:space="0"/>
            </w:tcBorders>
          </w:tcPr>
          <w:p>
            <w:pPr>
              <w:spacing w:line="380" w:lineRule="exact"/>
              <w:jc w:val="center"/>
              <w:rPr>
                <w:rFonts w:ascii="宋体"/>
                <w:sz w:val="24"/>
              </w:rPr>
            </w:pPr>
            <w:r>
              <w:rPr>
                <w:rFonts w:hint="eastAsia" w:ascii="宋体"/>
                <w:sz w:val="24"/>
              </w:rPr>
              <w:t>≤</w:t>
            </w:r>
            <w:r>
              <w:rPr>
                <w:rFonts w:ascii="宋体"/>
                <w:sz w:val="24"/>
              </w:rPr>
              <w:t>0.20</w:t>
            </w:r>
          </w:p>
        </w:tc>
        <w:tc>
          <w:tcPr>
            <w:tcW w:w="1674" w:type="pct"/>
            <w:tcBorders>
              <w:top w:val="single" w:color="auto" w:sz="4" w:space="0"/>
              <w:left w:val="single" w:color="auto" w:sz="4" w:space="0"/>
              <w:right w:val="single" w:color="auto" w:sz="4" w:space="0"/>
            </w:tcBorders>
            <w:vAlign w:val="center"/>
          </w:tcPr>
          <w:p>
            <w:pPr>
              <w:spacing w:line="380" w:lineRule="exact"/>
              <w:jc w:val="center"/>
              <w:rPr>
                <w:rFonts w:ascii="宋体"/>
                <w:sz w:val="24"/>
              </w:rPr>
            </w:pPr>
            <w:r>
              <w:rPr>
                <w:rFonts w:hint="eastAsia" w:ascii="宋体"/>
                <w:sz w:val="24"/>
              </w:rPr>
              <w:t>坐标检测仪</w:t>
            </w:r>
          </w:p>
        </w:tc>
      </w:tr>
      <w:tr>
        <w:tblPrEx>
          <w:tblCellMar>
            <w:top w:w="0" w:type="dxa"/>
            <w:left w:w="108" w:type="dxa"/>
            <w:bottom w:w="0" w:type="dxa"/>
            <w:right w:w="108" w:type="dxa"/>
          </w:tblCellMar>
        </w:tblPrEx>
        <w:trPr>
          <w:cantSplit/>
          <w:trHeight w:val="268" w:hRule="atLeast"/>
          <w:jc w:val="center"/>
        </w:trPr>
        <w:tc>
          <w:tcPr>
            <w:tcW w:w="2083" w:type="pct"/>
            <w:tcBorders>
              <w:top w:val="single" w:color="auto" w:sz="6" w:space="0"/>
              <w:left w:val="single" w:color="auto" w:sz="6" w:space="0"/>
              <w:bottom w:val="single" w:color="auto" w:sz="6" w:space="0"/>
              <w:right w:val="single" w:color="auto" w:sz="6" w:space="0"/>
            </w:tcBorders>
            <w:vAlign w:val="center"/>
          </w:tcPr>
          <w:p>
            <w:pPr>
              <w:spacing w:line="380" w:lineRule="exact"/>
              <w:jc w:val="center"/>
              <w:rPr>
                <w:rFonts w:ascii="宋体"/>
                <w:sz w:val="24"/>
              </w:rPr>
            </w:pPr>
            <w:r>
              <w:rPr>
                <w:rFonts w:hint="eastAsia" w:ascii="宋体"/>
                <w:sz w:val="24"/>
              </w:rPr>
              <w:t>模口结合面间隙</w:t>
            </w:r>
          </w:p>
        </w:tc>
        <w:tc>
          <w:tcPr>
            <w:tcW w:w="1242" w:type="pct"/>
            <w:tcBorders>
              <w:top w:val="single" w:color="auto" w:sz="4" w:space="0"/>
              <w:left w:val="single" w:color="auto" w:sz="6" w:space="0"/>
              <w:bottom w:val="single" w:color="auto" w:sz="6" w:space="0"/>
              <w:right w:val="single" w:color="auto" w:sz="4" w:space="0"/>
            </w:tcBorders>
            <w:vAlign w:val="center"/>
          </w:tcPr>
          <w:p>
            <w:pPr>
              <w:spacing w:line="380" w:lineRule="exact"/>
              <w:jc w:val="center"/>
              <w:rPr>
                <w:rFonts w:ascii="宋体"/>
                <w:sz w:val="24"/>
              </w:rPr>
            </w:pPr>
            <w:r>
              <w:rPr>
                <w:rFonts w:hint="eastAsia" w:ascii="宋体"/>
                <w:sz w:val="24"/>
              </w:rPr>
              <w:t>≤</w:t>
            </w:r>
            <w:r>
              <w:rPr>
                <w:rFonts w:ascii="宋体"/>
                <w:sz w:val="24"/>
              </w:rPr>
              <w:t>0.</w:t>
            </w:r>
            <w:r>
              <w:rPr>
                <w:rFonts w:hint="eastAsia" w:ascii="宋体"/>
                <w:sz w:val="24"/>
              </w:rPr>
              <w:t>10</w:t>
            </w:r>
          </w:p>
        </w:tc>
        <w:tc>
          <w:tcPr>
            <w:tcW w:w="1674" w:type="pct"/>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sz w:val="24"/>
              </w:rPr>
            </w:pPr>
            <w:r>
              <w:rPr>
                <w:rFonts w:hint="eastAsia" w:ascii="宋体"/>
                <w:sz w:val="24"/>
              </w:rPr>
              <w:t>对称四点压铅</w:t>
            </w:r>
          </w:p>
        </w:tc>
      </w:tr>
    </w:tbl>
    <w:p>
      <w:pPr>
        <w:spacing w:before="240" w:line="380" w:lineRule="exact"/>
        <w:jc w:val="center"/>
        <w:rPr>
          <w:rFonts w:ascii="宋体"/>
          <w:sz w:val="24"/>
        </w:rPr>
      </w:pPr>
      <w:r>
        <w:rPr>
          <w:rFonts w:hint="eastAsia" w:ascii="宋体"/>
          <w:sz w:val="24"/>
        </w:rPr>
        <w:t>表4  外模其它技术要求</w:t>
      </w:r>
    </w:p>
    <w:tbl>
      <w:tblPr>
        <w:tblStyle w:val="8"/>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5"/>
        <w:gridCol w:w="1738"/>
        <w:gridCol w:w="3131"/>
        <w:gridCol w:w="29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08" w:type="pct"/>
            <w:tcBorders>
              <w:bottom w:val="nil"/>
            </w:tcBorders>
            <w:vAlign w:val="center"/>
          </w:tcPr>
          <w:p>
            <w:pPr>
              <w:spacing w:line="380" w:lineRule="exact"/>
              <w:jc w:val="center"/>
              <w:rPr>
                <w:rFonts w:ascii="宋体"/>
                <w:sz w:val="24"/>
              </w:rPr>
            </w:pPr>
            <w:r>
              <w:rPr>
                <w:rFonts w:hint="eastAsia" w:ascii="宋体"/>
                <w:sz w:val="24"/>
              </w:rPr>
              <w:t>序号</w:t>
            </w:r>
          </w:p>
        </w:tc>
        <w:tc>
          <w:tcPr>
            <w:tcW w:w="1020" w:type="pct"/>
            <w:tcBorders>
              <w:bottom w:val="nil"/>
            </w:tcBorders>
            <w:vAlign w:val="center"/>
          </w:tcPr>
          <w:p>
            <w:pPr>
              <w:spacing w:line="380" w:lineRule="exact"/>
              <w:jc w:val="center"/>
              <w:rPr>
                <w:rFonts w:ascii="宋体"/>
                <w:sz w:val="24"/>
              </w:rPr>
            </w:pPr>
            <w:r>
              <w:rPr>
                <w:rFonts w:hint="eastAsia" w:ascii="宋体"/>
                <w:sz w:val="24"/>
              </w:rPr>
              <w:t>检测内容</w:t>
            </w:r>
          </w:p>
        </w:tc>
        <w:tc>
          <w:tcPr>
            <w:tcW w:w="1837" w:type="pct"/>
            <w:vAlign w:val="center"/>
          </w:tcPr>
          <w:p>
            <w:pPr>
              <w:spacing w:line="380" w:lineRule="exact"/>
              <w:jc w:val="center"/>
              <w:rPr>
                <w:rFonts w:ascii="宋体"/>
                <w:sz w:val="24"/>
              </w:rPr>
            </w:pPr>
            <w:r>
              <w:rPr>
                <w:rFonts w:hint="eastAsia" w:ascii="宋体"/>
                <w:sz w:val="24"/>
              </w:rPr>
              <w:t>质量要求</w:t>
            </w:r>
          </w:p>
        </w:tc>
        <w:tc>
          <w:tcPr>
            <w:tcW w:w="1735" w:type="pct"/>
          </w:tcPr>
          <w:p>
            <w:pPr>
              <w:spacing w:line="380" w:lineRule="exact"/>
              <w:jc w:val="center"/>
              <w:rPr>
                <w:rFonts w:ascii="宋体"/>
                <w:sz w:val="24"/>
              </w:rPr>
            </w:pPr>
            <w:r>
              <w:rPr>
                <w:rFonts w:hint="eastAsia" w:ascii="宋体"/>
                <w:sz w:val="24"/>
              </w:rPr>
              <w:t>检测工具（方法）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61" w:hRule="atLeast"/>
          <w:jc w:val="center"/>
        </w:trPr>
        <w:tc>
          <w:tcPr>
            <w:tcW w:w="408" w:type="pct"/>
            <w:vMerge w:val="restart"/>
            <w:tcBorders>
              <w:right w:val="single" w:color="auto" w:sz="6" w:space="0"/>
            </w:tcBorders>
            <w:vAlign w:val="center"/>
          </w:tcPr>
          <w:p>
            <w:pPr>
              <w:spacing w:line="380" w:lineRule="exact"/>
              <w:jc w:val="center"/>
              <w:rPr>
                <w:rFonts w:ascii="宋体"/>
                <w:sz w:val="24"/>
              </w:rPr>
            </w:pPr>
            <w:r>
              <w:rPr>
                <w:rFonts w:ascii="宋体"/>
                <w:sz w:val="24"/>
              </w:rPr>
              <w:t>1</w:t>
            </w:r>
          </w:p>
        </w:tc>
        <w:tc>
          <w:tcPr>
            <w:tcW w:w="1020" w:type="pct"/>
            <w:vMerge w:val="restart"/>
            <w:tcBorders>
              <w:left w:val="nil"/>
            </w:tcBorders>
            <w:vAlign w:val="center"/>
          </w:tcPr>
          <w:p>
            <w:pPr>
              <w:spacing w:line="380" w:lineRule="exact"/>
              <w:jc w:val="center"/>
              <w:rPr>
                <w:rFonts w:ascii="宋体"/>
                <w:sz w:val="24"/>
              </w:rPr>
            </w:pPr>
            <w:r>
              <w:rPr>
                <w:rFonts w:hint="eastAsia" w:ascii="宋体"/>
                <w:sz w:val="24"/>
              </w:rPr>
              <w:t>上下模锥面</w:t>
            </w:r>
          </w:p>
        </w:tc>
        <w:tc>
          <w:tcPr>
            <w:tcW w:w="1837" w:type="pct"/>
            <w:vAlign w:val="center"/>
          </w:tcPr>
          <w:p>
            <w:pPr>
              <w:spacing w:line="380" w:lineRule="exact"/>
              <w:jc w:val="center"/>
              <w:rPr>
                <w:rFonts w:ascii="宋体"/>
                <w:sz w:val="24"/>
              </w:rPr>
            </w:pPr>
            <w:r>
              <w:rPr>
                <w:rFonts w:hint="eastAsia" w:ascii="宋体"/>
                <w:sz w:val="24"/>
              </w:rPr>
              <w:t>配合公差按</w:t>
            </w:r>
            <w:r>
              <w:rPr>
                <w:rFonts w:ascii="宋体"/>
                <w:sz w:val="24"/>
              </w:rPr>
              <w:t>GB1802-79H7/g6</w:t>
            </w:r>
          </w:p>
        </w:tc>
        <w:tc>
          <w:tcPr>
            <w:tcW w:w="1735" w:type="pct"/>
            <w:vAlign w:val="center"/>
          </w:tcPr>
          <w:p>
            <w:pPr>
              <w:spacing w:line="380" w:lineRule="exact"/>
              <w:jc w:val="center"/>
              <w:rPr>
                <w:rFonts w:ascii="宋体"/>
                <w:sz w:val="24"/>
              </w:rPr>
            </w:pPr>
            <w:r>
              <w:rPr>
                <w:rFonts w:hint="eastAsia" w:ascii="宋体"/>
                <w:sz w:val="24"/>
              </w:rPr>
              <w:t>样板、游标卡尺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08" w:type="pct"/>
            <w:vMerge w:val="continue"/>
            <w:tcBorders>
              <w:bottom w:val="nil"/>
              <w:right w:val="single" w:color="auto" w:sz="6" w:space="0"/>
            </w:tcBorders>
            <w:vAlign w:val="center"/>
          </w:tcPr>
          <w:p>
            <w:pPr>
              <w:spacing w:line="380" w:lineRule="exact"/>
              <w:jc w:val="center"/>
              <w:rPr>
                <w:rFonts w:ascii="宋体"/>
                <w:sz w:val="24"/>
              </w:rPr>
            </w:pPr>
          </w:p>
        </w:tc>
        <w:tc>
          <w:tcPr>
            <w:tcW w:w="1020" w:type="pct"/>
            <w:vMerge w:val="continue"/>
            <w:tcBorders>
              <w:left w:val="nil"/>
              <w:bottom w:val="nil"/>
            </w:tcBorders>
            <w:vAlign w:val="center"/>
          </w:tcPr>
          <w:p>
            <w:pPr>
              <w:spacing w:line="380" w:lineRule="exact"/>
              <w:jc w:val="center"/>
              <w:rPr>
                <w:rFonts w:ascii="宋体"/>
                <w:sz w:val="24"/>
              </w:rPr>
            </w:pPr>
          </w:p>
        </w:tc>
        <w:tc>
          <w:tcPr>
            <w:tcW w:w="1837" w:type="pct"/>
            <w:vAlign w:val="center"/>
          </w:tcPr>
          <w:p>
            <w:pPr>
              <w:spacing w:line="380" w:lineRule="exact"/>
              <w:jc w:val="center"/>
              <w:rPr>
                <w:rFonts w:ascii="宋体"/>
                <w:sz w:val="24"/>
              </w:rPr>
            </w:pPr>
            <w:r>
              <w:rPr>
                <w:rFonts w:ascii="宋体"/>
                <w:sz w:val="24"/>
              </w:rPr>
              <w:t xml:space="preserve">Ra </w:t>
            </w:r>
            <w:r>
              <w:rPr>
                <w:rFonts w:hint="eastAsia" w:ascii="宋体"/>
                <w:sz w:val="24"/>
              </w:rPr>
              <w:t>≤</w:t>
            </w:r>
            <w:r>
              <w:rPr>
                <w:rFonts w:ascii="宋体"/>
                <w:sz w:val="24"/>
              </w:rPr>
              <w:t>1.6um</w:t>
            </w:r>
          </w:p>
        </w:tc>
        <w:tc>
          <w:tcPr>
            <w:tcW w:w="1735" w:type="pct"/>
            <w:vAlign w:val="center"/>
          </w:tcPr>
          <w:p>
            <w:pPr>
              <w:spacing w:line="380" w:lineRule="exact"/>
              <w:jc w:val="center"/>
              <w:rPr>
                <w:rFonts w:ascii="宋体"/>
                <w:sz w:val="24"/>
              </w:rPr>
            </w:pPr>
            <w:r>
              <w:rPr>
                <w:rFonts w:hint="eastAsia" w:ascii="宋体"/>
                <w:sz w:val="24"/>
              </w:rPr>
              <w:t>比较法和目测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08" w:type="pct"/>
            <w:vMerge w:val="restart"/>
            <w:tcBorders>
              <w:right w:val="single" w:color="auto" w:sz="6" w:space="0"/>
            </w:tcBorders>
            <w:vAlign w:val="center"/>
          </w:tcPr>
          <w:p>
            <w:pPr>
              <w:spacing w:line="380" w:lineRule="exact"/>
              <w:jc w:val="center"/>
              <w:rPr>
                <w:rFonts w:ascii="宋体"/>
                <w:sz w:val="24"/>
              </w:rPr>
            </w:pPr>
            <w:r>
              <w:rPr>
                <w:rFonts w:ascii="宋体"/>
                <w:sz w:val="24"/>
              </w:rPr>
              <w:t>2</w:t>
            </w:r>
          </w:p>
        </w:tc>
        <w:tc>
          <w:tcPr>
            <w:tcW w:w="1020" w:type="pct"/>
            <w:vMerge w:val="restart"/>
            <w:tcBorders>
              <w:left w:val="nil"/>
            </w:tcBorders>
            <w:vAlign w:val="center"/>
          </w:tcPr>
          <w:p>
            <w:pPr>
              <w:spacing w:line="380" w:lineRule="exact"/>
              <w:jc w:val="center"/>
              <w:rPr>
                <w:rFonts w:ascii="宋体"/>
                <w:sz w:val="24"/>
              </w:rPr>
            </w:pPr>
            <w:r>
              <w:rPr>
                <w:rFonts w:hint="eastAsia" w:ascii="宋体"/>
                <w:sz w:val="24"/>
              </w:rPr>
              <w:t>上下模与钢圈</w:t>
            </w:r>
          </w:p>
        </w:tc>
        <w:tc>
          <w:tcPr>
            <w:tcW w:w="1837" w:type="pct"/>
            <w:vAlign w:val="center"/>
          </w:tcPr>
          <w:p>
            <w:pPr>
              <w:spacing w:line="380" w:lineRule="exact"/>
              <w:jc w:val="center"/>
              <w:rPr>
                <w:rFonts w:ascii="宋体"/>
                <w:sz w:val="24"/>
              </w:rPr>
            </w:pPr>
            <w:r>
              <w:rPr>
                <w:rFonts w:hint="eastAsia" w:ascii="宋体"/>
                <w:sz w:val="24"/>
              </w:rPr>
              <w:t>配合公差按</w:t>
            </w:r>
            <w:r>
              <w:rPr>
                <w:rFonts w:ascii="宋体"/>
                <w:sz w:val="24"/>
              </w:rPr>
              <w:t>GB1802-79H7/h7</w:t>
            </w:r>
          </w:p>
        </w:tc>
        <w:tc>
          <w:tcPr>
            <w:tcW w:w="1735" w:type="pct"/>
            <w:vAlign w:val="center"/>
          </w:tcPr>
          <w:p>
            <w:pPr>
              <w:spacing w:line="380" w:lineRule="exact"/>
              <w:jc w:val="center"/>
              <w:rPr>
                <w:rFonts w:ascii="宋体"/>
                <w:sz w:val="24"/>
              </w:rPr>
            </w:pPr>
            <w:r>
              <w:rPr>
                <w:rFonts w:hint="eastAsia" w:ascii="宋体"/>
                <w:sz w:val="24"/>
              </w:rPr>
              <w:t>游标卡尺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08" w:type="pct"/>
            <w:vMerge w:val="continue"/>
            <w:tcBorders>
              <w:right w:val="single" w:color="auto" w:sz="6" w:space="0"/>
            </w:tcBorders>
            <w:vAlign w:val="center"/>
          </w:tcPr>
          <w:p>
            <w:pPr>
              <w:spacing w:line="380" w:lineRule="exact"/>
              <w:jc w:val="center"/>
              <w:rPr>
                <w:rFonts w:ascii="宋体"/>
                <w:sz w:val="24"/>
              </w:rPr>
            </w:pPr>
          </w:p>
        </w:tc>
        <w:tc>
          <w:tcPr>
            <w:tcW w:w="1020" w:type="pct"/>
            <w:vMerge w:val="continue"/>
            <w:tcBorders>
              <w:left w:val="nil"/>
            </w:tcBorders>
            <w:vAlign w:val="center"/>
          </w:tcPr>
          <w:p>
            <w:pPr>
              <w:spacing w:line="380" w:lineRule="exact"/>
              <w:jc w:val="center"/>
              <w:rPr>
                <w:rFonts w:ascii="宋体"/>
                <w:sz w:val="24"/>
              </w:rPr>
            </w:pPr>
          </w:p>
        </w:tc>
        <w:tc>
          <w:tcPr>
            <w:tcW w:w="1837" w:type="pct"/>
            <w:vAlign w:val="center"/>
          </w:tcPr>
          <w:p>
            <w:pPr>
              <w:spacing w:line="380" w:lineRule="exact"/>
              <w:jc w:val="center"/>
              <w:rPr>
                <w:rFonts w:ascii="宋体"/>
                <w:sz w:val="24"/>
              </w:rPr>
            </w:pPr>
            <w:r>
              <w:rPr>
                <w:rFonts w:ascii="宋体"/>
                <w:sz w:val="24"/>
              </w:rPr>
              <w:t xml:space="preserve">Ra </w:t>
            </w:r>
            <w:r>
              <w:rPr>
                <w:rFonts w:hint="eastAsia" w:ascii="宋体"/>
                <w:sz w:val="24"/>
              </w:rPr>
              <w:t>≤</w:t>
            </w:r>
            <w:r>
              <w:rPr>
                <w:rFonts w:ascii="宋体"/>
                <w:sz w:val="24"/>
              </w:rPr>
              <w:t>1.6um</w:t>
            </w:r>
          </w:p>
        </w:tc>
        <w:tc>
          <w:tcPr>
            <w:tcW w:w="1735" w:type="pct"/>
            <w:vAlign w:val="center"/>
          </w:tcPr>
          <w:p>
            <w:pPr>
              <w:spacing w:line="380" w:lineRule="exact"/>
              <w:jc w:val="center"/>
              <w:rPr>
                <w:rFonts w:ascii="宋体"/>
                <w:sz w:val="24"/>
              </w:rPr>
            </w:pPr>
            <w:r>
              <w:rPr>
                <w:rFonts w:hint="eastAsia" w:ascii="宋体"/>
                <w:sz w:val="24"/>
              </w:rPr>
              <w:t>比较法和目测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08" w:type="pct"/>
            <w:vAlign w:val="center"/>
          </w:tcPr>
          <w:p>
            <w:pPr>
              <w:spacing w:line="380" w:lineRule="exact"/>
              <w:jc w:val="center"/>
              <w:rPr>
                <w:rFonts w:ascii="宋体"/>
                <w:sz w:val="24"/>
              </w:rPr>
            </w:pPr>
            <w:r>
              <w:rPr>
                <w:rFonts w:ascii="宋体"/>
                <w:sz w:val="24"/>
              </w:rPr>
              <w:t>3</w:t>
            </w:r>
          </w:p>
        </w:tc>
        <w:tc>
          <w:tcPr>
            <w:tcW w:w="1020" w:type="pct"/>
            <w:vAlign w:val="center"/>
          </w:tcPr>
          <w:p>
            <w:pPr>
              <w:spacing w:line="380" w:lineRule="exact"/>
              <w:jc w:val="center"/>
              <w:rPr>
                <w:rFonts w:ascii="宋体"/>
                <w:sz w:val="24"/>
              </w:rPr>
            </w:pPr>
            <w:r>
              <w:rPr>
                <w:rFonts w:hint="eastAsia" w:ascii="宋体"/>
                <w:sz w:val="24"/>
              </w:rPr>
              <w:t>花纹尺寸精度</w:t>
            </w:r>
          </w:p>
        </w:tc>
        <w:tc>
          <w:tcPr>
            <w:tcW w:w="1837" w:type="pct"/>
            <w:vAlign w:val="center"/>
          </w:tcPr>
          <w:p>
            <w:pPr>
              <w:spacing w:line="380" w:lineRule="exact"/>
              <w:jc w:val="center"/>
              <w:rPr>
                <w:rFonts w:ascii="宋体"/>
                <w:sz w:val="24"/>
              </w:rPr>
            </w:pPr>
            <w:r>
              <w:rPr>
                <w:rFonts w:hint="eastAsia" w:ascii="宋体"/>
                <w:sz w:val="24"/>
              </w:rPr>
              <w:t>按</w:t>
            </w:r>
            <w:r>
              <w:rPr>
                <w:rFonts w:ascii="宋体"/>
                <w:sz w:val="24"/>
              </w:rPr>
              <w:t>GB1804-79</w:t>
            </w:r>
            <w:r>
              <w:rPr>
                <w:rFonts w:hint="eastAsia" w:ascii="宋体"/>
                <w:sz w:val="24"/>
              </w:rPr>
              <w:t>、</w:t>
            </w:r>
            <w:r>
              <w:rPr>
                <w:rFonts w:ascii="宋体"/>
                <w:sz w:val="24"/>
              </w:rPr>
              <w:t>js14</w:t>
            </w:r>
          </w:p>
        </w:tc>
        <w:tc>
          <w:tcPr>
            <w:tcW w:w="1735" w:type="pct"/>
            <w:vAlign w:val="center"/>
          </w:tcPr>
          <w:p>
            <w:pPr>
              <w:spacing w:line="380" w:lineRule="exact"/>
              <w:jc w:val="center"/>
              <w:rPr>
                <w:rFonts w:ascii="宋体"/>
                <w:sz w:val="24"/>
              </w:rPr>
            </w:pPr>
            <w:r>
              <w:rPr>
                <w:rFonts w:hint="eastAsia" w:ascii="宋体"/>
                <w:sz w:val="24"/>
              </w:rPr>
              <w:t>样板、游标卡尺、深度尺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08" w:type="pct"/>
            <w:vAlign w:val="center"/>
          </w:tcPr>
          <w:p>
            <w:pPr>
              <w:spacing w:line="380" w:lineRule="exact"/>
              <w:jc w:val="center"/>
              <w:rPr>
                <w:rFonts w:ascii="宋体"/>
                <w:sz w:val="24"/>
              </w:rPr>
            </w:pPr>
            <w:r>
              <w:rPr>
                <w:rFonts w:ascii="宋体"/>
                <w:sz w:val="24"/>
              </w:rPr>
              <w:t>4</w:t>
            </w:r>
          </w:p>
        </w:tc>
        <w:tc>
          <w:tcPr>
            <w:tcW w:w="1020" w:type="pct"/>
            <w:vAlign w:val="center"/>
          </w:tcPr>
          <w:p>
            <w:pPr>
              <w:spacing w:line="380" w:lineRule="exact"/>
              <w:jc w:val="center"/>
              <w:rPr>
                <w:rFonts w:ascii="宋体"/>
                <w:sz w:val="24"/>
              </w:rPr>
            </w:pPr>
            <w:r>
              <w:rPr>
                <w:rFonts w:hint="eastAsia" w:ascii="宋体"/>
                <w:sz w:val="24"/>
              </w:rPr>
              <w:t>型腔表面</w:t>
            </w:r>
          </w:p>
        </w:tc>
        <w:tc>
          <w:tcPr>
            <w:tcW w:w="1837" w:type="pct"/>
            <w:vAlign w:val="center"/>
          </w:tcPr>
          <w:p>
            <w:pPr>
              <w:spacing w:line="380" w:lineRule="exact"/>
              <w:jc w:val="center"/>
              <w:rPr>
                <w:rFonts w:ascii="宋体"/>
                <w:sz w:val="24"/>
              </w:rPr>
            </w:pPr>
            <w:r>
              <w:rPr>
                <w:rFonts w:hint="eastAsia" w:ascii="宋体"/>
                <w:sz w:val="24"/>
              </w:rPr>
              <w:t>花纹圈</w:t>
            </w:r>
            <w:r>
              <w:rPr>
                <w:rFonts w:ascii="宋体"/>
                <w:sz w:val="24"/>
              </w:rPr>
              <w:t xml:space="preserve">Ra </w:t>
            </w:r>
            <w:r>
              <w:rPr>
                <w:rFonts w:hint="eastAsia" w:ascii="宋体"/>
                <w:sz w:val="24"/>
              </w:rPr>
              <w:t>≤3.2</w:t>
            </w:r>
            <w:r>
              <w:rPr>
                <w:rFonts w:ascii="宋体"/>
                <w:sz w:val="24"/>
              </w:rPr>
              <w:t>um</w:t>
            </w:r>
            <w:r>
              <w:rPr>
                <w:rFonts w:hint="eastAsia" w:ascii="宋体"/>
                <w:sz w:val="24"/>
              </w:rPr>
              <w:t>；</w:t>
            </w:r>
          </w:p>
          <w:p>
            <w:pPr>
              <w:spacing w:line="380" w:lineRule="exact"/>
              <w:jc w:val="center"/>
              <w:rPr>
                <w:rFonts w:ascii="宋体"/>
                <w:sz w:val="24"/>
              </w:rPr>
            </w:pPr>
            <w:r>
              <w:rPr>
                <w:rFonts w:hint="eastAsia" w:ascii="宋体"/>
                <w:sz w:val="24"/>
              </w:rPr>
              <w:t>侧板Ra≤1.6</w:t>
            </w:r>
            <w:r>
              <w:rPr>
                <w:rFonts w:ascii="宋体"/>
                <w:sz w:val="24"/>
              </w:rPr>
              <w:t xml:space="preserve"> um</w:t>
            </w:r>
          </w:p>
        </w:tc>
        <w:tc>
          <w:tcPr>
            <w:tcW w:w="1735" w:type="pct"/>
            <w:vAlign w:val="center"/>
          </w:tcPr>
          <w:p>
            <w:pPr>
              <w:spacing w:line="380" w:lineRule="exact"/>
              <w:jc w:val="center"/>
              <w:rPr>
                <w:rFonts w:ascii="宋体"/>
                <w:sz w:val="24"/>
              </w:rPr>
            </w:pPr>
            <w:r>
              <w:rPr>
                <w:rFonts w:hint="eastAsia" w:ascii="宋体"/>
                <w:sz w:val="24"/>
              </w:rPr>
              <w:t>比较法和目测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08" w:type="pct"/>
            <w:vAlign w:val="center"/>
          </w:tcPr>
          <w:p>
            <w:pPr>
              <w:spacing w:line="380" w:lineRule="exact"/>
              <w:jc w:val="center"/>
              <w:rPr>
                <w:rFonts w:ascii="宋体"/>
                <w:sz w:val="24"/>
              </w:rPr>
            </w:pPr>
            <w:r>
              <w:rPr>
                <w:rFonts w:ascii="宋体"/>
                <w:sz w:val="24"/>
              </w:rPr>
              <w:t>5</w:t>
            </w:r>
          </w:p>
        </w:tc>
        <w:tc>
          <w:tcPr>
            <w:tcW w:w="1020" w:type="pct"/>
            <w:vAlign w:val="center"/>
          </w:tcPr>
          <w:p>
            <w:pPr>
              <w:spacing w:line="380" w:lineRule="exact"/>
              <w:jc w:val="center"/>
              <w:rPr>
                <w:rFonts w:ascii="宋体"/>
                <w:sz w:val="24"/>
              </w:rPr>
            </w:pPr>
            <w:r>
              <w:rPr>
                <w:rFonts w:hint="eastAsia" w:ascii="宋体"/>
                <w:sz w:val="24"/>
              </w:rPr>
              <w:t>上下模平面</w:t>
            </w:r>
          </w:p>
        </w:tc>
        <w:tc>
          <w:tcPr>
            <w:tcW w:w="1837" w:type="pct"/>
            <w:vAlign w:val="center"/>
          </w:tcPr>
          <w:p>
            <w:pPr>
              <w:spacing w:line="380" w:lineRule="exact"/>
              <w:jc w:val="center"/>
              <w:rPr>
                <w:rFonts w:ascii="宋体"/>
                <w:sz w:val="24"/>
              </w:rPr>
            </w:pPr>
            <w:r>
              <w:rPr>
                <w:rFonts w:ascii="宋体"/>
                <w:sz w:val="24"/>
              </w:rPr>
              <w:t xml:space="preserve">Ra </w:t>
            </w:r>
            <w:r>
              <w:rPr>
                <w:rFonts w:hint="eastAsia" w:ascii="宋体"/>
                <w:sz w:val="24"/>
              </w:rPr>
              <w:t>≤3.2</w:t>
            </w:r>
            <w:r>
              <w:rPr>
                <w:rFonts w:ascii="宋体"/>
                <w:sz w:val="24"/>
              </w:rPr>
              <w:t>um</w:t>
            </w:r>
          </w:p>
        </w:tc>
        <w:tc>
          <w:tcPr>
            <w:tcW w:w="1735" w:type="pct"/>
            <w:vAlign w:val="center"/>
          </w:tcPr>
          <w:p>
            <w:pPr>
              <w:spacing w:line="380" w:lineRule="exact"/>
              <w:jc w:val="center"/>
              <w:rPr>
                <w:rFonts w:ascii="宋体"/>
                <w:sz w:val="24"/>
              </w:rPr>
            </w:pPr>
            <w:r>
              <w:rPr>
                <w:rFonts w:hint="eastAsia" w:ascii="宋体"/>
                <w:sz w:val="24"/>
              </w:rPr>
              <w:t>比较法和目测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08" w:type="pct"/>
            <w:vAlign w:val="center"/>
          </w:tcPr>
          <w:p>
            <w:pPr>
              <w:spacing w:line="380" w:lineRule="exact"/>
              <w:jc w:val="center"/>
              <w:rPr>
                <w:rFonts w:ascii="宋体"/>
                <w:sz w:val="24"/>
              </w:rPr>
            </w:pPr>
            <w:r>
              <w:rPr>
                <w:rFonts w:ascii="宋体"/>
                <w:sz w:val="24"/>
              </w:rPr>
              <w:t>6</w:t>
            </w:r>
          </w:p>
        </w:tc>
        <w:tc>
          <w:tcPr>
            <w:tcW w:w="1020" w:type="pct"/>
            <w:vAlign w:val="center"/>
          </w:tcPr>
          <w:p>
            <w:pPr>
              <w:spacing w:line="380" w:lineRule="exact"/>
              <w:jc w:val="center"/>
              <w:rPr>
                <w:rFonts w:ascii="宋体"/>
                <w:sz w:val="24"/>
              </w:rPr>
            </w:pPr>
            <w:r>
              <w:rPr>
                <w:rFonts w:hint="eastAsia" w:ascii="宋体"/>
                <w:sz w:val="24"/>
              </w:rPr>
              <w:t>其它配合面</w:t>
            </w:r>
          </w:p>
        </w:tc>
        <w:tc>
          <w:tcPr>
            <w:tcW w:w="1837" w:type="pct"/>
            <w:vAlign w:val="center"/>
          </w:tcPr>
          <w:p>
            <w:pPr>
              <w:spacing w:line="380" w:lineRule="exact"/>
              <w:jc w:val="center"/>
              <w:rPr>
                <w:rFonts w:ascii="宋体"/>
                <w:sz w:val="24"/>
              </w:rPr>
            </w:pPr>
            <w:r>
              <w:rPr>
                <w:rFonts w:ascii="宋体"/>
                <w:sz w:val="24"/>
              </w:rPr>
              <w:t xml:space="preserve">Ra </w:t>
            </w:r>
            <w:r>
              <w:rPr>
                <w:rFonts w:hint="eastAsia" w:ascii="宋体"/>
                <w:sz w:val="24"/>
              </w:rPr>
              <w:t>≤1.6</w:t>
            </w:r>
            <w:r>
              <w:rPr>
                <w:rFonts w:ascii="宋体"/>
                <w:sz w:val="24"/>
              </w:rPr>
              <w:t>um</w:t>
            </w:r>
            <w:r>
              <w:rPr>
                <w:rFonts w:hint="eastAsia" w:ascii="宋体"/>
                <w:sz w:val="24"/>
              </w:rPr>
              <w:t xml:space="preserve">  或 按图纸要求</w:t>
            </w:r>
          </w:p>
        </w:tc>
        <w:tc>
          <w:tcPr>
            <w:tcW w:w="1735" w:type="pct"/>
            <w:vAlign w:val="center"/>
          </w:tcPr>
          <w:p>
            <w:pPr>
              <w:spacing w:line="380" w:lineRule="exact"/>
              <w:jc w:val="center"/>
              <w:rPr>
                <w:rFonts w:ascii="宋体"/>
                <w:sz w:val="24"/>
              </w:rPr>
            </w:pPr>
            <w:r>
              <w:rPr>
                <w:rFonts w:hint="eastAsia" w:ascii="宋体"/>
                <w:sz w:val="24"/>
              </w:rPr>
              <w:t>比较法和目测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08" w:type="pct"/>
            <w:vAlign w:val="center"/>
          </w:tcPr>
          <w:p>
            <w:pPr>
              <w:spacing w:line="380" w:lineRule="exact"/>
              <w:jc w:val="center"/>
              <w:rPr>
                <w:rFonts w:ascii="宋体"/>
                <w:sz w:val="24"/>
              </w:rPr>
            </w:pPr>
            <w:r>
              <w:rPr>
                <w:rFonts w:ascii="宋体"/>
                <w:sz w:val="24"/>
              </w:rPr>
              <w:t>7</w:t>
            </w:r>
          </w:p>
        </w:tc>
        <w:tc>
          <w:tcPr>
            <w:tcW w:w="1020" w:type="pct"/>
            <w:vAlign w:val="center"/>
          </w:tcPr>
          <w:p>
            <w:pPr>
              <w:spacing w:line="380" w:lineRule="exact"/>
              <w:jc w:val="center"/>
              <w:rPr>
                <w:rFonts w:ascii="宋体"/>
                <w:sz w:val="24"/>
              </w:rPr>
            </w:pPr>
            <w:r>
              <w:rPr>
                <w:rFonts w:hint="eastAsia" w:ascii="宋体"/>
                <w:sz w:val="24"/>
              </w:rPr>
              <w:t>排气孔</w:t>
            </w:r>
          </w:p>
        </w:tc>
        <w:tc>
          <w:tcPr>
            <w:tcW w:w="1837" w:type="pct"/>
            <w:vAlign w:val="center"/>
          </w:tcPr>
          <w:p>
            <w:pPr>
              <w:spacing w:line="380" w:lineRule="exact"/>
              <w:jc w:val="center"/>
              <w:rPr>
                <w:rFonts w:ascii="宋体"/>
                <w:sz w:val="24"/>
              </w:rPr>
            </w:pPr>
            <w:r>
              <w:rPr>
                <w:rFonts w:hint="eastAsia" w:ascii="宋体"/>
                <w:sz w:val="24"/>
              </w:rPr>
              <w:t>通顺</w:t>
            </w:r>
          </w:p>
        </w:tc>
        <w:tc>
          <w:tcPr>
            <w:tcW w:w="1735" w:type="pct"/>
            <w:vAlign w:val="center"/>
          </w:tcPr>
          <w:p>
            <w:pPr>
              <w:spacing w:line="380" w:lineRule="exact"/>
              <w:jc w:val="center"/>
              <w:rPr>
                <w:rFonts w:ascii="宋体"/>
                <w:sz w:val="24"/>
              </w:rPr>
            </w:pPr>
            <w:r>
              <w:rPr>
                <w:rFonts w:hint="eastAsia" w:ascii="宋体"/>
                <w:sz w:val="24"/>
              </w:rPr>
              <w:t>钢丝检验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08" w:type="pct"/>
            <w:vAlign w:val="center"/>
          </w:tcPr>
          <w:p>
            <w:pPr>
              <w:spacing w:line="380" w:lineRule="exact"/>
              <w:jc w:val="center"/>
              <w:rPr>
                <w:rFonts w:ascii="宋体"/>
                <w:sz w:val="24"/>
              </w:rPr>
            </w:pPr>
            <w:r>
              <w:rPr>
                <w:rFonts w:ascii="宋体"/>
                <w:sz w:val="24"/>
              </w:rPr>
              <w:t>8</w:t>
            </w:r>
          </w:p>
        </w:tc>
        <w:tc>
          <w:tcPr>
            <w:tcW w:w="1020" w:type="pct"/>
            <w:vAlign w:val="center"/>
          </w:tcPr>
          <w:p>
            <w:pPr>
              <w:spacing w:line="380" w:lineRule="exact"/>
              <w:jc w:val="center"/>
              <w:rPr>
                <w:rFonts w:ascii="宋体"/>
                <w:sz w:val="24"/>
              </w:rPr>
            </w:pPr>
            <w:r>
              <w:rPr>
                <w:rFonts w:hint="eastAsia" w:ascii="宋体"/>
                <w:sz w:val="24"/>
              </w:rPr>
              <w:t>镶入钢片</w:t>
            </w:r>
          </w:p>
        </w:tc>
        <w:tc>
          <w:tcPr>
            <w:tcW w:w="1837" w:type="pct"/>
            <w:vAlign w:val="center"/>
          </w:tcPr>
          <w:p>
            <w:pPr>
              <w:spacing w:line="380" w:lineRule="exact"/>
              <w:jc w:val="center"/>
              <w:rPr>
                <w:rFonts w:ascii="宋体"/>
                <w:sz w:val="24"/>
              </w:rPr>
            </w:pPr>
            <w:r>
              <w:rPr>
                <w:rFonts w:hint="eastAsia" w:ascii="宋体"/>
                <w:sz w:val="24"/>
              </w:rPr>
              <w:t>牢固</w:t>
            </w:r>
          </w:p>
        </w:tc>
        <w:tc>
          <w:tcPr>
            <w:tcW w:w="1735" w:type="pct"/>
            <w:vAlign w:val="center"/>
          </w:tcPr>
          <w:p>
            <w:pPr>
              <w:spacing w:line="380" w:lineRule="exact"/>
              <w:jc w:val="center"/>
              <w:rPr>
                <w:rFonts w:ascii="宋体"/>
                <w:sz w:val="24"/>
              </w:rPr>
            </w:pPr>
            <w:r>
              <w:rPr>
                <w:rFonts w:hint="eastAsia" w:ascii="宋体"/>
                <w:sz w:val="24"/>
              </w:rPr>
              <w:t>夹试</w:t>
            </w:r>
          </w:p>
        </w:tc>
      </w:tr>
    </w:tbl>
    <w:p>
      <w:pPr>
        <w:spacing w:before="240" w:line="380" w:lineRule="exact"/>
        <w:rPr>
          <w:rFonts w:ascii="宋体"/>
          <w:sz w:val="24"/>
        </w:rPr>
      </w:pPr>
      <w:r>
        <w:rPr>
          <w:rFonts w:hint="eastAsia" w:ascii="宋体"/>
          <w:sz w:val="24"/>
        </w:rPr>
        <w:t>2、其余部分按HG3227.1-2009严格执行。</w:t>
      </w:r>
    </w:p>
    <w:p>
      <w:pPr>
        <w:spacing w:line="380" w:lineRule="exact"/>
        <w:rPr>
          <w:rFonts w:ascii="宋体"/>
          <w:sz w:val="24"/>
        </w:rPr>
      </w:pPr>
      <w:r>
        <w:rPr>
          <w:rFonts w:hint="eastAsia" w:ascii="宋体"/>
          <w:sz w:val="24"/>
        </w:rPr>
        <w:t>3、检验使用的样板均需是线切割的样板，偏差应符合GB 1800-1803 中IT7级制造标准。</w:t>
      </w:r>
    </w:p>
    <w:p>
      <w:pPr>
        <w:spacing w:line="380" w:lineRule="exact"/>
        <w:rPr>
          <w:rFonts w:ascii="宋体"/>
          <w:sz w:val="24"/>
        </w:rPr>
      </w:pPr>
      <w:r>
        <w:rPr>
          <w:rFonts w:hint="eastAsia" w:ascii="宋体"/>
          <w:sz w:val="24"/>
        </w:rPr>
        <w:t>4、模具型腔尺寸、气线、气孔、及商标字体按</w:t>
      </w:r>
      <w:r>
        <w:rPr>
          <w:rFonts w:hint="eastAsia" w:ascii="宋体"/>
          <w:color w:val="000000"/>
          <w:sz w:val="24"/>
          <w:szCs w:val="24"/>
        </w:rPr>
        <w:t>需方</w:t>
      </w:r>
      <w:r>
        <w:rPr>
          <w:rFonts w:hint="eastAsia" w:ascii="宋体"/>
          <w:sz w:val="24"/>
        </w:rPr>
        <w:t>提供的图纸加工；</w:t>
      </w:r>
    </w:p>
    <w:p>
      <w:pPr>
        <w:spacing w:line="380" w:lineRule="exact"/>
        <w:rPr>
          <w:rFonts w:ascii="宋体"/>
          <w:sz w:val="24"/>
        </w:rPr>
      </w:pPr>
      <w:r>
        <w:rPr>
          <w:rFonts w:hint="eastAsia" w:ascii="宋体"/>
          <w:sz w:val="24"/>
        </w:rPr>
        <w:t>5、模具型腔文字均需采用机械雕刻工艺,具体要求按图纸执行；</w:t>
      </w:r>
    </w:p>
    <w:p>
      <w:pPr>
        <w:spacing w:line="380" w:lineRule="exact"/>
        <w:ind w:left="403" w:hanging="403" w:hangingChars="168"/>
        <w:rPr>
          <w:rFonts w:ascii="宋体"/>
          <w:sz w:val="24"/>
        </w:rPr>
      </w:pPr>
      <w:r>
        <w:rPr>
          <w:rFonts w:hint="eastAsia" w:ascii="宋体"/>
          <w:sz w:val="24"/>
        </w:rPr>
        <w:t>6、花纹块、上下侧板及模壳装配后应保证活络自如；</w:t>
      </w:r>
    </w:p>
    <w:p>
      <w:pPr>
        <w:spacing w:line="380" w:lineRule="exact"/>
        <w:ind w:left="403" w:hanging="403" w:hangingChars="168"/>
        <w:rPr>
          <w:rFonts w:ascii="宋体"/>
          <w:sz w:val="24"/>
        </w:rPr>
      </w:pPr>
      <w:r>
        <w:rPr>
          <w:rFonts w:hint="eastAsia" w:ascii="宋体"/>
          <w:sz w:val="24"/>
        </w:rPr>
        <w:t>7、活络模模具材料：花纹块为、侧板、胶囊夹盘和钢圈为45#锻钢，滑块为40Cr或QT600-3，上盖、底座：45#锻钢；</w:t>
      </w:r>
    </w:p>
    <w:p>
      <w:pPr>
        <w:spacing w:line="380" w:lineRule="exact"/>
        <w:ind w:left="360" w:hanging="360" w:hangingChars="150"/>
        <w:rPr>
          <w:rFonts w:ascii="宋体"/>
          <w:sz w:val="24"/>
        </w:rPr>
      </w:pPr>
      <w:r>
        <w:rPr>
          <w:rFonts w:hint="eastAsia" w:ascii="宋体"/>
          <w:sz w:val="24"/>
        </w:rPr>
        <w:t>8、表面处理要求：模具在加工过程中除按照金属加工热处理的要求严格执行外，向心机构和上下钢圈、夹盘还须进行表面氮化处理，花纹块表面须进行喷砂处理，表面光洁度为3.2，胎侧表面进行喷砂处理，表面光洁度为</w:t>
      </w:r>
      <w:r>
        <w:rPr>
          <w:rFonts w:ascii="宋体"/>
          <w:sz w:val="24"/>
        </w:rPr>
        <w:t>Ra1.6</w:t>
      </w:r>
      <w:r>
        <w:rPr>
          <w:rFonts w:hint="eastAsia" w:ascii="宋体"/>
          <w:sz w:val="24"/>
        </w:rPr>
        <w:t>。</w:t>
      </w:r>
    </w:p>
    <w:p>
      <w:pPr>
        <w:spacing w:line="380" w:lineRule="exact"/>
        <w:ind w:left="403" w:hanging="403" w:hangingChars="168"/>
        <w:rPr>
          <w:rFonts w:ascii="宋体"/>
          <w:sz w:val="24"/>
        </w:rPr>
      </w:pPr>
      <w:r>
        <w:rPr>
          <w:rFonts w:hint="eastAsia" w:ascii="宋体"/>
          <w:sz w:val="24"/>
        </w:rPr>
        <w:t>9、模套外形明显位置需打印标记，内容包括</w:t>
      </w:r>
      <w:r>
        <w:rPr>
          <w:rFonts w:ascii="宋体"/>
          <w:sz w:val="24"/>
        </w:rPr>
        <w:t>:</w:t>
      </w:r>
      <w:r>
        <w:rPr>
          <w:rFonts w:hint="eastAsia" w:ascii="宋体"/>
          <w:sz w:val="24"/>
        </w:rPr>
        <w:t>模套类型、制造厂商、出厂日期、模套编号、模套规格、总重量等；活络模花纹块外形明显位置需打印标记，内容包括</w:t>
      </w:r>
      <w:r>
        <w:rPr>
          <w:rFonts w:ascii="宋体"/>
          <w:sz w:val="24"/>
        </w:rPr>
        <w:t>:</w:t>
      </w:r>
      <w:r>
        <w:rPr>
          <w:rFonts w:hint="eastAsia" w:ascii="宋体"/>
          <w:sz w:val="24"/>
        </w:rPr>
        <w:t xml:space="preserve"> 制造厂商、轮胎规格、花纹编号、模号、出厂日期等；活字块背面或侧面需打印标记，内容包括</w:t>
      </w:r>
      <w:r>
        <w:rPr>
          <w:rFonts w:ascii="宋体"/>
          <w:sz w:val="24"/>
        </w:rPr>
        <w:t>:</w:t>
      </w:r>
      <w:r>
        <w:rPr>
          <w:rFonts w:hint="eastAsia" w:ascii="宋体"/>
          <w:sz w:val="24"/>
        </w:rPr>
        <w:t xml:space="preserve"> 轮胎规格、花纹编号、模号、上模（下模）等，若是白板还需标明用于刻制什么内容。</w:t>
      </w:r>
    </w:p>
    <w:p>
      <w:pPr>
        <w:spacing w:line="380" w:lineRule="exact"/>
        <w:ind w:left="408" w:leftChars="23" w:hanging="360" w:hangingChars="150"/>
        <w:rPr>
          <w:rFonts w:ascii="宋体"/>
          <w:sz w:val="24"/>
        </w:rPr>
      </w:pPr>
      <w:r>
        <w:rPr>
          <w:rFonts w:hint="eastAsia" w:ascii="宋体"/>
          <w:sz w:val="24"/>
        </w:rPr>
        <w:t>10、活络模模套的安装尺寸及精度应符合硫化机装配尺寸及附表中的公差要求，模套、花纹块及</w:t>
      </w:r>
      <w:r>
        <w:rPr>
          <w:rFonts w:ascii="宋体"/>
          <w:sz w:val="24"/>
        </w:rPr>
        <w:t>上下侧板</w:t>
      </w:r>
      <w:r>
        <w:rPr>
          <w:rFonts w:hint="eastAsia" w:ascii="宋体"/>
          <w:sz w:val="24"/>
        </w:rPr>
        <w:t>在装机之后，动作伸缩自如、无异常现象。</w:t>
      </w:r>
    </w:p>
    <w:p>
      <w:pPr>
        <w:spacing w:line="380" w:lineRule="exact"/>
        <w:ind w:left="408" w:leftChars="23" w:hanging="360" w:hangingChars="150"/>
        <w:rPr>
          <w:rFonts w:ascii="宋体"/>
          <w:sz w:val="24"/>
        </w:rPr>
      </w:pPr>
      <w:r>
        <w:rPr>
          <w:rFonts w:hint="eastAsia" w:ascii="宋体"/>
          <w:sz w:val="24"/>
        </w:rPr>
        <w:t>11、活络模模套（或型腔组件）的内部装配尺寸及精度应符合轮胎模具行业标准要求及</w:t>
      </w:r>
      <w:r>
        <w:rPr>
          <w:rFonts w:hint="eastAsia" w:ascii="宋体"/>
          <w:color w:val="000000"/>
          <w:sz w:val="24"/>
          <w:szCs w:val="24"/>
        </w:rPr>
        <w:t>需方</w:t>
      </w:r>
      <w:r>
        <w:rPr>
          <w:rFonts w:hint="eastAsia" w:ascii="宋体"/>
          <w:sz w:val="24"/>
        </w:rPr>
        <w:t>特殊要求，保证不同厂家加工的模套、花纹块能够互换使用，保证批量轮胎硫化之后，各分型面无出胶边、出台及凹台等外观异常质量问题。</w:t>
      </w:r>
    </w:p>
    <w:p>
      <w:pPr>
        <w:spacing w:before="240" w:after="240" w:line="380" w:lineRule="exact"/>
        <w:rPr>
          <w:rFonts w:ascii="宋体"/>
          <w:b/>
          <w:bCs/>
          <w:sz w:val="28"/>
          <w:szCs w:val="28"/>
        </w:rPr>
      </w:pPr>
      <w:r>
        <w:rPr>
          <w:rFonts w:hint="eastAsia" w:ascii="宋体"/>
          <w:b/>
          <w:bCs/>
          <w:sz w:val="28"/>
          <w:szCs w:val="28"/>
        </w:rPr>
        <w:t>二、</w:t>
      </w:r>
      <w:r>
        <w:rPr>
          <w:rFonts w:ascii="宋体"/>
          <w:b/>
          <w:bCs/>
          <w:sz w:val="28"/>
          <w:szCs w:val="28"/>
        </w:rPr>
        <w:t>验收及检验方法：</w:t>
      </w:r>
    </w:p>
    <w:p>
      <w:pPr>
        <w:spacing w:line="380" w:lineRule="exact"/>
        <w:ind w:firstLine="180" w:firstLineChars="75"/>
        <w:rPr>
          <w:rFonts w:ascii="宋体"/>
          <w:color w:val="000000"/>
          <w:sz w:val="24"/>
        </w:rPr>
      </w:pPr>
      <w:r>
        <w:rPr>
          <w:rFonts w:ascii="宋体"/>
          <w:color w:val="000000"/>
          <w:sz w:val="24"/>
        </w:rPr>
        <w:t>1</w:t>
      </w:r>
      <w:r>
        <w:rPr>
          <w:rFonts w:hint="eastAsia" w:ascii="宋体"/>
          <w:color w:val="000000"/>
          <w:sz w:val="24"/>
        </w:rPr>
        <w:t>、</w:t>
      </w:r>
      <w:r>
        <w:rPr>
          <w:rFonts w:ascii="宋体"/>
          <w:color w:val="000000"/>
          <w:sz w:val="24"/>
        </w:rPr>
        <w:t>模具的验收及检验方法按</w:t>
      </w:r>
      <w:r>
        <w:rPr>
          <w:rFonts w:hint="eastAsia" w:ascii="宋体"/>
          <w:color w:val="000000"/>
          <w:sz w:val="24"/>
        </w:rPr>
        <w:t>全钢子午胎模具加工公差</w:t>
      </w:r>
      <w:r>
        <w:rPr>
          <w:rFonts w:ascii="宋体"/>
          <w:color w:val="000000"/>
          <w:sz w:val="24"/>
        </w:rPr>
        <w:t>严格执行；</w:t>
      </w:r>
    </w:p>
    <w:p>
      <w:pPr>
        <w:spacing w:line="380" w:lineRule="exact"/>
        <w:ind w:left="541" w:leftChars="86" w:hanging="360" w:hangingChars="150"/>
        <w:rPr>
          <w:rFonts w:ascii="宋体"/>
          <w:color w:val="000000"/>
          <w:sz w:val="24"/>
        </w:rPr>
      </w:pPr>
      <w:r>
        <w:rPr>
          <w:rFonts w:hint="eastAsia" w:ascii="宋体"/>
          <w:color w:val="000000"/>
          <w:sz w:val="24"/>
        </w:rPr>
        <w:t>2、模具进厂时,包装箱里需有供方提供的样板、质量证件及模具装箱清单(如活块清单等)，包括:</w:t>
      </w:r>
    </w:p>
    <w:p>
      <w:pPr>
        <w:spacing w:line="380" w:lineRule="exact"/>
        <w:ind w:left="708" w:leftChars="337" w:firstLine="1"/>
        <w:rPr>
          <w:rFonts w:ascii="宋体"/>
          <w:color w:val="000000"/>
          <w:sz w:val="24"/>
        </w:rPr>
      </w:pPr>
      <w:r>
        <w:rPr>
          <w:rFonts w:hint="eastAsia" w:ascii="宋体"/>
          <w:color w:val="000000"/>
          <w:sz w:val="24"/>
        </w:rPr>
        <w:t>a.每种规格模具必须附有测量样板,即:胎冠花纹曲线、胎侧曲线、花纹主沟深、钢圈着合直径及曲线等样板各一件。</w:t>
      </w:r>
    </w:p>
    <w:p>
      <w:pPr>
        <w:spacing w:line="380" w:lineRule="exact"/>
        <w:ind w:left="708" w:leftChars="337" w:firstLine="1"/>
        <w:rPr>
          <w:rFonts w:ascii="宋体"/>
          <w:color w:val="000000"/>
          <w:sz w:val="24"/>
        </w:rPr>
      </w:pPr>
      <w:r>
        <w:rPr>
          <w:rFonts w:hint="eastAsia" w:ascii="宋体"/>
          <w:color w:val="000000"/>
          <w:sz w:val="24"/>
        </w:rPr>
        <w:t>b.每套模具必须附有供方:证明产品质量合格的证件及型腔所有字印拓等;模具必须附带有型腔胎冠花纹部位圆度等公差的出厂检测报告。</w:t>
      </w:r>
    </w:p>
    <w:p>
      <w:pPr>
        <w:spacing w:line="380" w:lineRule="exact"/>
        <w:ind w:left="708" w:leftChars="337" w:firstLine="1"/>
        <w:rPr>
          <w:rFonts w:ascii="宋体"/>
          <w:color w:val="000000"/>
          <w:sz w:val="24"/>
        </w:rPr>
      </w:pPr>
      <w:r>
        <w:rPr>
          <w:rFonts w:hint="eastAsia" w:ascii="宋体"/>
          <w:color w:val="000000"/>
          <w:sz w:val="24"/>
        </w:rPr>
        <w:t>c.活络模模套必须附有供方:证明产品质量合格的证件及产品安全使用手册。</w:t>
      </w:r>
    </w:p>
    <w:p>
      <w:pPr>
        <w:spacing w:line="380" w:lineRule="exact"/>
        <w:ind w:left="541" w:leftChars="86" w:hanging="360" w:hangingChars="150"/>
        <w:rPr>
          <w:rFonts w:ascii="宋体"/>
          <w:color w:val="000000"/>
          <w:sz w:val="24"/>
        </w:rPr>
      </w:pPr>
      <w:r>
        <w:rPr>
          <w:rFonts w:hint="eastAsia" w:ascii="宋体"/>
          <w:color w:val="000000"/>
          <w:sz w:val="24"/>
        </w:rPr>
        <w:t>3、</w:t>
      </w:r>
      <w:r>
        <w:rPr>
          <w:rFonts w:ascii="宋体"/>
          <w:color w:val="000000"/>
          <w:sz w:val="24"/>
        </w:rPr>
        <w:t>模具加工完毕后，</w:t>
      </w:r>
      <w:r>
        <w:rPr>
          <w:rFonts w:hint="eastAsia" w:ascii="宋体"/>
          <w:color w:val="000000"/>
          <w:sz w:val="24"/>
        </w:rPr>
        <w:t>供方按照</w:t>
      </w:r>
      <w:r>
        <w:rPr>
          <w:rFonts w:hint="eastAsia" w:ascii="宋体"/>
          <w:color w:val="000000"/>
          <w:sz w:val="24"/>
          <w:szCs w:val="24"/>
        </w:rPr>
        <w:t>需方</w:t>
      </w:r>
      <w:r>
        <w:rPr>
          <w:rFonts w:hint="eastAsia" w:ascii="宋体"/>
          <w:color w:val="000000"/>
          <w:sz w:val="24"/>
        </w:rPr>
        <w:t>的要求</w:t>
      </w:r>
      <w:r>
        <w:rPr>
          <w:rFonts w:ascii="宋体"/>
          <w:color w:val="000000"/>
          <w:sz w:val="24"/>
        </w:rPr>
        <w:t>提供活络模检测</w:t>
      </w:r>
      <w:r>
        <w:rPr>
          <w:rFonts w:hint="eastAsia" w:ascii="宋体"/>
          <w:color w:val="000000"/>
          <w:sz w:val="24"/>
        </w:rPr>
        <w:t>报告</w:t>
      </w:r>
      <w:r>
        <w:rPr>
          <w:rFonts w:ascii="宋体"/>
          <w:color w:val="000000"/>
          <w:sz w:val="24"/>
        </w:rPr>
        <w:t>，并提前通知</w:t>
      </w:r>
      <w:r>
        <w:rPr>
          <w:rFonts w:hint="eastAsia" w:ascii="宋体"/>
          <w:color w:val="000000"/>
          <w:sz w:val="24"/>
          <w:szCs w:val="24"/>
        </w:rPr>
        <w:t>需方</w:t>
      </w:r>
      <w:r>
        <w:rPr>
          <w:rFonts w:ascii="宋体"/>
          <w:color w:val="000000"/>
          <w:sz w:val="24"/>
        </w:rPr>
        <w:t>，</w:t>
      </w:r>
      <w:r>
        <w:rPr>
          <w:rFonts w:hint="eastAsia" w:ascii="宋体"/>
          <w:color w:val="000000"/>
          <w:sz w:val="24"/>
          <w:szCs w:val="24"/>
        </w:rPr>
        <w:t>需方</w:t>
      </w:r>
      <w:r>
        <w:rPr>
          <w:rFonts w:ascii="宋体"/>
          <w:color w:val="000000"/>
          <w:sz w:val="24"/>
        </w:rPr>
        <w:t>按</w:t>
      </w:r>
      <w:r>
        <w:rPr>
          <w:rFonts w:hint="eastAsia" w:ascii="宋体"/>
          <w:color w:val="000000"/>
          <w:sz w:val="24"/>
        </w:rPr>
        <w:t>相应</w:t>
      </w:r>
      <w:r>
        <w:rPr>
          <w:rFonts w:ascii="宋体"/>
          <w:color w:val="000000"/>
          <w:sz w:val="24"/>
        </w:rPr>
        <w:t>图纸及技术资料</w:t>
      </w:r>
      <w:r>
        <w:rPr>
          <w:rFonts w:hint="eastAsia" w:ascii="宋体"/>
          <w:color w:val="000000"/>
          <w:sz w:val="24"/>
        </w:rPr>
        <w:t>和</w:t>
      </w:r>
      <w:r>
        <w:rPr>
          <w:rFonts w:ascii="宋体"/>
          <w:color w:val="000000"/>
          <w:sz w:val="24"/>
        </w:rPr>
        <w:t>钢圈样板、胎侧曲线样板、胎面曲线样板、各种花纹沟</w:t>
      </w:r>
      <w:r>
        <w:rPr>
          <w:rFonts w:hint="eastAsia" w:ascii="宋体"/>
          <w:color w:val="000000"/>
          <w:sz w:val="24"/>
        </w:rPr>
        <w:t>剖面</w:t>
      </w:r>
      <w:r>
        <w:rPr>
          <w:rFonts w:ascii="宋体"/>
          <w:color w:val="000000"/>
          <w:sz w:val="24"/>
        </w:rPr>
        <w:t>形状样板要求进行</w:t>
      </w:r>
      <w:r>
        <w:rPr>
          <w:rFonts w:hint="eastAsia" w:ascii="宋体"/>
          <w:color w:val="000000"/>
          <w:sz w:val="24"/>
        </w:rPr>
        <w:t>初次</w:t>
      </w:r>
      <w:r>
        <w:rPr>
          <w:rFonts w:ascii="宋体"/>
          <w:color w:val="000000"/>
          <w:sz w:val="24"/>
        </w:rPr>
        <w:t>验收</w:t>
      </w:r>
      <w:r>
        <w:rPr>
          <w:rFonts w:hint="eastAsia" w:ascii="宋体"/>
          <w:color w:val="000000"/>
          <w:sz w:val="24"/>
        </w:rPr>
        <w:t>。如初验不合格，供方需在十日内整改，如整改后仍不合格，则</w:t>
      </w:r>
      <w:r>
        <w:rPr>
          <w:rFonts w:hint="eastAsia" w:ascii="宋体"/>
          <w:color w:val="000000"/>
          <w:sz w:val="24"/>
          <w:szCs w:val="24"/>
        </w:rPr>
        <w:t>需方</w:t>
      </w:r>
      <w:r>
        <w:rPr>
          <w:rFonts w:hint="eastAsia" w:ascii="宋体"/>
          <w:color w:val="000000"/>
          <w:sz w:val="24"/>
        </w:rPr>
        <w:t>有权退货或要求供方在规定期限内换货，由此而发生的一切费用均由供方承担。</w:t>
      </w:r>
    </w:p>
    <w:p>
      <w:pPr>
        <w:spacing w:line="380" w:lineRule="exact"/>
        <w:ind w:left="541" w:leftChars="86" w:hanging="360" w:hangingChars="150"/>
        <w:rPr>
          <w:rFonts w:ascii="宋体"/>
          <w:color w:val="000000"/>
          <w:sz w:val="24"/>
        </w:rPr>
      </w:pPr>
      <w:r>
        <w:rPr>
          <w:rFonts w:hint="eastAsia" w:ascii="宋体"/>
          <w:color w:val="000000"/>
          <w:sz w:val="24"/>
        </w:rPr>
        <w:t>4、初验合格后，在安装调试中如出现问题，由供方</w:t>
      </w:r>
      <w:r>
        <w:rPr>
          <w:rFonts w:ascii="宋体"/>
          <w:color w:val="000000"/>
          <w:sz w:val="24"/>
        </w:rPr>
        <w:t>派员协助</w:t>
      </w:r>
      <w:r>
        <w:rPr>
          <w:rFonts w:hint="eastAsia" w:ascii="宋体"/>
          <w:color w:val="000000"/>
          <w:sz w:val="24"/>
        </w:rPr>
        <w:t>解决，以硫化检验进行最终</w:t>
      </w:r>
      <w:r>
        <w:rPr>
          <w:rFonts w:ascii="宋体"/>
          <w:color w:val="000000"/>
          <w:sz w:val="24"/>
        </w:rPr>
        <w:t>验收</w:t>
      </w:r>
      <w:r>
        <w:rPr>
          <w:rFonts w:hint="eastAsia" w:ascii="宋体"/>
          <w:color w:val="000000"/>
          <w:sz w:val="24"/>
        </w:rPr>
        <w:t>。如最终</w:t>
      </w:r>
      <w:r>
        <w:rPr>
          <w:rFonts w:ascii="宋体"/>
          <w:color w:val="000000"/>
          <w:sz w:val="24"/>
        </w:rPr>
        <w:t>验收</w:t>
      </w:r>
      <w:r>
        <w:rPr>
          <w:rFonts w:hint="eastAsia" w:ascii="宋体"/>
          <w:color w:val="000000"/>
          <w:sz w:val="24"/>
        </w:rPr>
        <w:t>不合格，供方需在十日内整改，如整改后仍不合格，则</w:t>
      </w:r>
      <w:r>
        <w:rPr>
          <w:rFonts w:hint="eastAsia" w:ascii="宋体"/>
          <w:color w:val="000000"/>
          <w:sz w:val="24"/>
          <w:szCs w:val="24"/>
        </w:rPr>
        <w:t>需方</w:t>
      </w:r>
      <w:r>
        <w:rPr>
          <w:rFonts w:hint="eastAsia" w:ascii="宋体"/>
          <w:color w:val="000000"/>
          <w:sz w:val="24"/>
        </w:rPr>
        <w:t>有权退货或要求供方在规定期限内换货，由此而发生的一切费用及由此造成的损失均由供方承担。</w:t>
      </w:r>
    </w:p>
    <w:p>
      <w:pPr>
        <w:spacing w:line="380" w:lineRule="exact"/>
        <w:ind w:left="541" w:leftChars="86" w:hanging="360" w:hangingChars="150"/>
        <w:rPr>
          <w:rFonts w:ascii="宋体"/>
          <w:sz w:val="24"/>
        </w:rPr>
      </w:pPr>
      <w:r>
        <w:rPr>
          <w:rFonts w:hint="eastAsia" w:ascii="宋体"/>
          <w:sz w:val="24"/>
        </w:rPr>
        <w:t>5、模套的安装尺寸及精度的检验以实际装机来检验，即与</w:t>
      </w:r>
      <w:r>
        <w:rPr>
          <w:rFonts w:hint="eastAsia" w:ascii="宋体"/>
          <w:color w:val="000000"/>
          <w:sz w:val="24"/>
          <w:szCs w:val="24"/>
        </w:rPr>
        <w:t>需方</w:t>
      </w:r>
      <w:r>
        <w:rPr>
          <w:rFonts w:hint="eastAsia" w:ascii="宋体"/>
          <w:sz w:val="24"/>
        </w:rPr>
        <w:t>在用的硫化机装配检验：模套在装机之后，动作伸缩自如、无异常现象。</w:t>
      </w:r>
    </w:p>
    <w:p>
      <w:pPr>
        <w:spacing w:line="380" w:lineRule="exact"/>
        <w:ind w:left="541" w:leftChars="86" w:hanging="360" w:hangingChars="150"/>
        <w:rPr>
          <w:rFonts w:ascii="宋体"/>
          <w:sz w:val="24"/>
        </w:rPr>
      </w:pPr>
      <w:r>
        <w:rPr>
          <w:rFonts w:hint="eastAsia" w:ascii="宋体"/>
          <w:sz w:val="24"/>
        </w:rPr>
        <w:t>6、模套（或型腔组件）的内部装配尺寸及精度的检验以与</w:t>
      </w:r>
      <w:r>
        <w:rPr>
          <w:rFonts w:hint="eastAsia" w:ascii="宋体"/>
          <w:color w:val="000000"/>
          <w:sz w:val="24"/>
          <w:szCs w:val="24"/>
        </w:rPr>
        <w:t>需方</w:t>
      </w:r>
      <w:r>
        <w:rPr>
          <w:rFonts w:hint="eastAsia" w:ascii="宋体"/>
          <w:sz w:val="24"/>
        </w:rPr>
        <w:t>现有的型腔组件（或模套）装配来检验，保证批量轮胎硫化之后，各分型面无出胶边、出台及凹台等外观异常质量问题。</w:t>
      </w:r>
    </w:p>
    <w:p>
      <w:pPr>
        <w:spacing w:line="380" w:lineRule="exact"/>
        <w:ind w:left="541" w:leftChars="86" w:hanging="360" w:hangingChars="150"/>
        <w:rPr>
          <w:rFonts w:ascii="宋体"/>
          <w:sz w:val="24"/>
        </w:rPr>
      </w:pPr>
      <w:r>
        <w:rPr>
          <w:rFonts w:hint="eastAsia" w:ascii="宋体"/>
          <w:sz w:val="24"/>
        </w:rPr>
        <w:t>7、模套（或型腔组件）在检验试用中，如模套（或型腔组件）与</w:t>
      </w:r>
      <w:r>
        <w:rPr>
          <w:rFonts w:hint="eastAsia" w:ascii="宋体"/>
          <w:color w:val="000000"/>
          <w:sz w:val="24"/>
          <w:szCs w:val="24"/>
        </w:rPr>
        <w:t>需方</w:t>
      </w:r>
      <w:r>
        <w:rPr>
          <w:rFonts w:hint="eastAsia" w:ascii="宋体"/>
          <w:sz w:val="24"/>
        </w:rPr>
        <w:t>现有的型腔组件（或模套）实配过程中，因模套（或型腔组件）尺寸不符合标准而造成的模具损坏，供方应负全部责任。</w:t>
      </w:r>
    </w:p>
    <w:p>
      <w:pPr>
        <w:spacing w:line="380" w:lineRule="exact"/>
        <w:ind w:left="541" w:leftChars="86" w:hanging="360" w:hangingChars="150"/>
        <w:rPr>
          <w:rFonts w:ascii="宋体"/>
          <w:color w:val="000000"/>
          <w:sz w:val="24"/>
        </w:rPr>
      </w:pPr>
      <w:r>
        <w:rPr>
          <w:rFonts w:hint="eastAsia" w:ascii="宋体"/>
          <w:sz w:val="24"/>
        </w:rPr>
        <w:t>8、</w:t>
      </w:r>
      <w:r>
        <w:rPr>
          <w:rFonts w:ascii="宋体"/>
          <w:sz w:val="24"/>
        </w:rPr>
        <w:t>模具在</w:t>
      </w:r>
      <w:r>
        <w:rPr>
          <w:rFonts w:hint="eastAsia" w:ascii="宋体"/>
          <w:color w:val="000000"/>
          <w:sz w:val="24"/>
          <w:szCs w:val="24"/>
        </w:rPr>
        <w:t>需方</w:t>
      </w:r>
      <w:r>
        <w:rPr>
          <w:rFonts w:ascii="宋体"/>
          <w:sz w:val="24"/>
        </w:rPr>
        <w:t>使用过程中，</w:t>
      </w:r>
      <w:r>
        <w:rPr>
          <w:rFonts w:hint="eastAsia" w:ascii="宋体"/>
          <w:sz w:val="24"/>
        </w:rPr>
        <w:t>供方</w:t>
      </w:r>
      <w:r>
        <w:rPr>
          <w:rFonts w:ascii="宋体"/>
          <w:sz w:val="24"/>
        </w:rPr>
        <w:t>需</w:t>
      </w:r>
      <w:r>
        <w:rPr>
          <w:rFonts w:ascii="宋体"/>
          <w:color w:val="000000"/>
          <w:sz w:val="24"/>
        </w:rPr>
        <w:t>提供必要的售后服务，解决模具所出现的问题：如属模具设计或加工、装配而产生的问题，由</w:t>
      </w:r>
      <w:r>
        <w:rPr>
          <w:rFonts w:hint="eastAsia" w:ascii="宋体"/>
          <w:color w:val="000000"/>
          <w:sz w:val="24"/>
        </w:rPr>
        <w:t>供方</w:t>
      </w:r>
      <w:r>
        <w:rPr>
          <w:rFonts w:ascii="宋体"/>
          <w:color w:val="000000"/>
          <w:sz w:val="24"/>
        </w:rPr>
        <w:t>承担全部费用；如属</w:t>
      </w:r>
      <w:r>
        <w:rPr>
          <w:rFonts w:hint="eastAsia" w:ascii="宋体"/>
          <w:color w:val="000000"/>
          <w:sz w:val="24"/>
          <w:szCs w:val="24"/>
        </w:rPr>
        <w:t>需方</w:t>
      </w:r>
      <w:r>
        <w:rPr>
          <w:rFonts w:ascii="宋体"/>
          <w:color w:val="000000"/>
          <w:sz w:val="24"/>
        </w:rPr>
        <w:t>所提供图纸、技术资料的差错或操作不当而出现的问题，费用由</w:t>
      </w:r>
      <w:r>
        <w:rPr>
          <w:rFonts w:hint="eastAsia" w:ascii="宋体"/>
          <w:color w:val="000000"/>
          <w:sz w:val="24"/>
          <w:szCs w:val="24"/>
        </w:rPr>
        <w:t>需方</w:t>
      </w:r>
      <w:r>
        <w:rPr>
          <w:rFonts w:ascii="宋体"/>
          <w:color w:val="000000"/>
          <w:sz w:val="24"/>
        </w:rPr>
        <w:t>承担</w:t>
      </w:r>
      <w:r>
        <w:rPr>
          <w:rFonts w:hint="eastAsia" w:ascii="宋体"/>
          <w:color w:val="000000"/>
          <w:sz w:val="24"/>
        </w:rPr>
        <w:t>。</w:t>
      </w:r>
    </w:p>
    <w:p>
      <w:pPr>
        <w:spacing w:before="240" w:after="240" w:line="380" w:lineRule="exact"/>
        <w:rPr>
          <w:rFonts w:ascii="宋体"/>
          <w:b/>
          <w:bCs/>
          <w:sz w:val="28"/>
          <w:szCs w:val="28"/>
        </w:rPr>
      </w:pPr>
      <w:r>
        <w:rPr>
          <w:rFonts w:hint="eastAsia" w:ascii="宋体"/>
          <w:b/>
          <w:bCs/>
          <w:sz w:val="28"/>
          <w:szCs w:val="28"/>
        </w:rPr>
        <w:t>三、保密约定</w:t>
      </w:r>
    </w:p>
    <w:p>
      <w:pPr>
        <w:spacing w:before="240" w:after="240" w:line="380" w:lineRule="exact"/>
        <w:ind w:firstLine="424" w:firstLineChars="177"/>
        <w:rPr>
          <w:rFonts w:ascii="宋体"/>
          <w:sz w:val="24"/>
        </w:rPr>
      </w:pPr>
      <w:r>
        <w:rPr>
          <w:rFonts w:hint="eastAsia" w:ascii="宋体"/>
          <w:sz w:val="24"/>
        </w:rPr>
        <w:t>供方</w:t>
      </w:r>
      <w:r>
        <w:rPr>
          <w:rFonts w:ascii="宋体"/>
          <w:sz w:val="24"/>
        </w:rPr>
        <w:t>对</w:t>
      </w:r>
      <w:r>
        <w:rPr>
          <w:rFonts w:hint="eastAsia" w:ascii="宋体"/>
          <w:color w:val="000000"/>
          <w:sz w:val="24"/>
          <w:szCs w:val="24"/>
        </w:rPr>
        <w:t>需方</w:t>
      </w:r>
      <w:r>
        <w:rPr>
          <w:rFonts w:ascii="宋体"/>
          <w:sz w:val="24"/>
        </w:rPr>
        <w:t>提供的图纸等技术性文件必须保密，并不得将</w:t>
      </w:r>
      <w:r>
        <w:rPr>
          <w:rFonts w:hint="eastAsia" w:ascii="宋体"/>
          <w:color w:val="000000"/>
          <w:sz w:val="24"/>
          <w:szCs w:val="24"/>
        </w:rPr>
        <w:t>需方</w:t>
      </w:r>
      <w:r>
        <w:rPr>
          <w:rFonts w:ascii="宋体"/>
          <w:sz w:val="24"/>
        </w:rPr>
        <w:t>的图纸及技术文件泄露给第三方，如有违约将依法追究违约方违约责任并加倍赔偿</w:t>
      </w:r>
      <w:r>
        <w:rPr>
          <w:rFonts w:hint="eastAsia" w:ascii="宋体"/>
          <w:color w:val="000000"/>
          <w:sz w:val="24"/>
          <w:szCs w:val="24"/>
        </w:rPr>
        <w:t>需方</w:t>
      </w:r>
      <w:r>
        <w:rPr>
          <w:rFonts w:ascii="宋体"/>
          <w:sz w:val="24"/>
        </w:rPr>
        <w:t>的经济损失；</w:t>
      </w:r>
    </w:p>
    <w:p>
      <w:pPr>
        <w:spacing w:before="240" w:after="240" w:line="380" w:lineRule="exact"/>
        <w:rPr>
          <w:rFonts w:ascii="宋体"/>
          <w:b/>
          <w:bCs/>
          <w:sz w:val="28"/>
          <w:szCs w:val="28"/>
        </w:rPr>
      </w:pPr>
      <w:r>
        <w:rPr>
          <w:rFonts w:hint="eastAsia" w:ascii="宋体"/>
          <w:b/>
          <w:bCs/>
          <w:sz w:val="28"/>
          <w:szCs w:val="28"/>
        </w:rPr>
        <w:t>四、模具加工图纸</w:t>
      </w:r>
    </w:p>
    <w:p>
      <w:pPr>
        <w:spacing w:line="380" w:lineRule="exact"/>
        <w:ind w:firstLine="180" w:firstLineChars="75"/>
        <w:rPr>
          <w:rFonts w:ascii="宋体"/>
          <w:color w:val="000000"/>
          <w:sz w:val="24"/>
        </w:rPr>
      </w:pPr>
      <w:r>
        <w:rPr>
          <w:rFonts w:hint="eastAsia" w:ascii="宋体"/>
          <w:color w:val="000000"/>
          <w:sz w:val="24"/>
        </w:rPr>
        <w:t>1、需方</w:t>
      </w:r>
      <w:r>
        <w:rPr>
          <w:rFonts w:ascii="宋体"/>
          <w:color w:val="000000"/>
          <w:sz w:val="24"/>
        </w:rPr>
        <w:t>向</w:t>
      </w:r>
      <w:r>
        <w:rPr>
          <w:rFonts w:hint="eastAsia" w:ascii="宋体"/>
          <w:color w:val="000000"/>
          <w:sz w:val="24"/>
        </w:rPr>
        <w:t>供方</w:t>
      </w:r>
      <w:r>
        <w:rPr>
          <w:rFonts w:ascii="宋体"/>
          <w:color w:val="000000"/>
          <w:sz w:val="24"/>
        </w:rPr>
        <w:t>提供</w:t>
      </w:r>
      <w:r>
        <w:rPr>
          <w:rFonts w:hint="eastAsia" w:ascii="宋体"/>
          <w:color w:val="000000"/>
          <w:sz w:val="24"/>
        </w:rPr>
        <w:t>整套</w:t>
      </w:r>
      <w:r>
        <w:rPr>
          <w:rFonts w:ascii="宋体"/>
          <w:color w:val="000000"/>
          <w:sz w:val="24"/>
        </w:rPr>
        <w:t>模具加工所需图纸</w:t>
      </w:r>
      <w:r>
        <w:rPr>
          <w:rFonts w:hint="eastAsia" w:ascii="宋体"/>
          <w:color w:val="000000"/>
          <w:sz w:val="24"/>
        </w:rPr>
        <w:t>。</w:t>
      </w:r>
    </w:p>
    <w:p>
      <w:pPr>
        <w:spacing w:line="380" w:lineRule="exact"/>
        <w:ind w:left="541" w:leftChars="86" w:hanging="360" w:hangingChars="150"/>
        <w:rPr>
          <w:rFonts w:ascii="宋体"/>
          <w:color w:val="000000"/>
          <w:sz w:val="24"/>
        </w:rPr>
      </w:pPr>
      <w:r>
        <w:rPr>
          <w:rFonts w:hint="eastAsia" w:ascii="宋体"/>
          <w:color w:val="000000"/>
          <w:sz w:val="24"/>
        </w:rPr>
        <w:t>2、关于图纸确认：</w:t>
      </w:r>
    </w:p>
    <w:p>
      <w:pPr>
        <w:spacing w:line="380" w:lineRule="exact"/>
        <w:ind w:left="540" w:leftChars="257" w:firstLine="24" w:firstLineChars="10"/>
        <w:rPr>
          <w:rFonts w:ascii="宋体"/>
          <w:color w:val="000000"/>
          <w:sz w:val="24"/>
        </w:rPr>
      </w:pPr>
      <w:r>
        <w:rPr>
          <w:rFonts w:hint="eastAsia" w:ascii="宋体"/>
          <w:color w:val="000000"/>
          <w:sz w:val="24"/>
        </w:rPr>
        <w:t>（1）图纸由</w:t>
      </w:r>
      <w:r>
        <w:rPr>
          <w:rFonts w:hint="eastAsia" w:ascii="宋体"/>
          <w:color w:val="000000"/>
          <w:sz w:val="24"/>
          <w:szCs w:val="24"/>
        </w:rPr>
        <w:t>需方</w:t>
      </w:r>
      <w:r>
        <w:rPr>
          <w:rFonts w:hint="eastAsia" w:ascii="宋体"/>
          <w:color w:val="000000"/>
          <w:sz w:val="24"/>
        </w:rPr>
        <w:t>技术部门传送供方，图纸传送第二天起计算加工周期；</w:t>
      </w:r>
    </w:p>
    <w:p>
      <w:pPr>
        <w:spacing w:line="380" w:lineRule="exact"/>
        <w:ind w:left="540" w:leftChars="257" w:firstLine="24" w:firstLineChars="10"/>
        <w:rPr>
          <w:rFonts w:ascii="宋体"/>
          <w:color w:val="000000"/>
          <w:sz w:val="24"/>
        </w:rPr>
      </w:pPr>
      <w:r>
        <w:rPr>
          <w:rFonts w:hint="eastAsia" w:ascii="宋体"/>
          <w:color w:val="000000"/>
          <w:sz w:val="24"/>
        </w:rPr>
        <w:t>（2）侧板排列图在花纹轮廓图传送一个月内传送，不影响加工周期；</w:t>
      </w:r>
    </w:p>
    <w:p>
      <w:pPr>
        <w:spacing w:line="380" w:lineRule="exact"/>
        <w:ind w:left="540" w:leftChars="257" w:firstLine="24" w:firstLineChars="10"/>
        <w:rPr>
          <w:rFonts w:ascii="宋体"/>
          <w:color w:val="000000"/>
          <w:sz w:val="24"/>
        </w:rPr>
      </w:pPr>
      <w:r>
        <w:rPr>
          <w:rFonts w:hint="eastAsia" w:ascii="宋体"/>
          <w:color w:val="000000"/>
          <w:sz w:val="24"/>
        </w:rPr>
        <w:t>（</w:t>
      </w:r>
      <w:r>
        <w:rPr>
          <w:rFonts w:ascii="宋体"/>
          <w:color w:val="000000"/>
          <w:sz w:val="24"/>
        </w:rPr>
        <w:t>3</w:t>
      </w:r>
      <w:r>
        <w:rPr>
          <w:rFonts w:hint="eastAsia" w:ascii="宋体"/>
          <w:color w:val="000000"/>
          <w:sz w:val="24"/>
        </w:rPr>
        <w:t>）往来图纸确认</w:t>
      </w:r>
      <w:r>
        <w:rPr>
          <w:rFonts w:hint="eastAsia" w:ascii="宋体"/>
          <w:color w:val="000000"/>
          <w:sz w:val="24"/>
          <w:szCs w:val="24"/>
        </w:rPr>
        <w:t>需方</w:t>
      </w:r>
      <w:r>
        <w:rPr>
          <w:rFonts w:hint="eastAsia" w:ascii="宋体"/>
          <w:color w:val="000000"/>
          <w:sz w:val="24"/>
        </w:rPr>
        <w:t>技术部门承诺1日内回复。个别疑难问题回复时间超过</w:t>
      </w:r>
      <w:r>
        <w:rPr>
          <w:rFonts w:ascii="宋体"/>
          <w:color w:val="000000"/>
          <w:sz w:val="24"/>
        </w:rPr>
        <w:t>1</w:t>
      </w:r>
      <w:r>
        <w:rPr>
          <w:rFonts w:hint="eastAsia" w:ascii="宋体"/>
          <w:color w:val="000000"/>
          <w:sz w:val="24"/>
        </w:rPr>
        <w:t>日的规格，技术部门做好记录，加工周期可延长相应时间。</w:t>
      </w:r>
    </w:p>
    <w:p>
      <w:pPr>
        <w:snapToGrid w:val="0"/>
        <w:spacing w:line="288" w:lineRule="auto"/>
        <w:ind w:firstLine="480" w:firstLineChars="200"/>
        <w:rPr>
          <w:sz w:val="24"/>
          <w:szCs w:val="24"/>
        </w:rPr>
      </w:pPr>
    </w:p>
    <w:p/>
    <w:p>
      <w:pPr>
        <w:widowControl/>
        <w:jc w:val="left"/>
        <w:rPr>
          <w:rFonts w:ascii="宋体" w:hAnsi="宋体" w:eastAsia="宋体" w:cs="宋体"/>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17</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rPr>
      <w:t>厦门国贸物产有限公司招标文件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9"/>
    <w:multiLevelType w:val="singleLevel"/>
    <w:tmpl w:val="00000009"/>
    <w:lvl w:ilvl="0" w:tentative="0">
      <w:start w:val="1"/>
      <w:numFmt w:val="chineseCounting"/>
      <w:suff w:val="space"/>
      <w:lvlText w:val="%1、"/>
      <w:lvlJc w:val="left"/>
    </w:lvl>
  </w:abstractNum>
  <w:abstractNum w:abstractNumId="2">
    <w:nsid w:val="43BA70F4"/>
    <w:multiLevelType w:val="multilevel"/>
    <w:tmpl w:val="43BA70F4"/>
    <w:lvl w:ilvl="0" w:tentative="0">
      <w:start w:val="3"/>
      <w:numFmt w:val="japaneseCounting"/>
      <w:lvlText w:val="%1、"/>
      <w:lvlJc w:val="left"/>
      <w:pPr>
        <w:ind w:left="450" w:hanging="450"/>
      </w:pPr>
      <w:rPr>
        <w:rFonts w:hint="default"/>
        <w:b/>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7C2131"/>
    <w:multiLevelType w:val="multilevel"/>
    <w:tmpl w:val="737C21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A74"/>
    <w:rsid w:val="000111C4"/>
    <w:rsid w:val="000540B8"/>
    <w:rsid w:val="00076883"/>
    <w:rsid w:val="0009289D"/>
    <w:rsid w:val="000A6A74"/>
    <w:rsid w:val="000F4B7B"/>
    <w:rsid w:val="00122AC6"/>
    <w:rsid w:val="001361D8"/>
    <w:rsid w:val="00150040"/>
    <w:rsid w:val="001A5566"/>
    <w:rsid w:val="00203217"/>
    <w:rsid w:val="0023755E"/>
    <w:rsid w:val="0029777E"/>
    <w:rsid w:val="00301B66"/>
    <w:rsid w:val="00346EC5"/>
    <w:rsid w:val="0039058D"/>
    <w:rsid w:val="003B27E9"/>
    <w:rsid w:val="003F1763"/>
    <w:rsid w:val="00420AE5"/>
    <w:rsid w:val="00426611"/>
    <w:rsid w:val="004A1BDD"/>
    <w:rsid w:val="004A3214"/>
    <w:rsid w:val="004F09E6"/>
    <w:rsid w:val="005044B4"/>
    <w:rsid w:val="005234FB"/>
    <w:rsid w:val="00525ED8"/>
    <w:rsid w:val="00567F35"/>
    <w:rsid w:val="005B0C86"/>
    <w:rsid w:val="005E5ECF"/>
    <w:rsid w:val="00601865"/>
    <w:rsid w:val="00674E18"/>
    <w:rsid w:val="00692569"/>
    <w:rsid w:val="006D7ADB"/>
    <w:rsid w:val="007116AB"/>
    <w:rsid w:val="00740CFD"/>
    <w:rsid w:val="007710EF"/>
    <w:rsid w:val="0079594F"/>
    <w:rsid w:val="007D4F0A"/>
    <w:rsid w:val="007F31A5"/>
    <w:rsid w:val="0082027B"/>
    <w:rsid w:val="00822A74"/>
    <w:rsid w:val="008506AF"/>
    <w:rsid w:val="008543CE"/>
    <w:rsid w:val="00877A3F"/>
    <w:rsid w:val="008A7124"/>
    <w:rsid w:val="008B24E5"/>
    <w:rsid w:val="008C14E9"/>
    <w:rsid w:val="00952F94"/>
    <w:rsid w:val="009B0248"/>
    <w:rsid w:val="009B2613"/>
    <w:rsid w:val="009B548B"/>
    <w:rsid w:val="009C5E2B"/>
    <w:rsid w:val="00A77126"/>
    <w:rsid w:val="00A96121"/>
    <w:rsid w:val="00AA55BA"/>
    <w:rsid w:val="00B01DF5"/>
    <w:rsid w:val="00B07B2E"/>
    <w:rsid w:val="00BA680A"/>
    <w:rsid w:val="00BE1EFE"/>
    <w:rsid w:val="00BF090C"/>
    <w:rsid w:val="00BF2959"/>
    <w:rsid w:val="00C413C3"/>
    <w:rsid w:val="00C91A47"/>
    <w:rsid w:val="00C93A91"/>
    <w:rsid w:val="00DE2DA8"/>
    <w:rsid w:val="00E11BCE"/>
    <w:rsid w:val="00E93A5F"/>
    <w:rsid w:val="00EB1B5C"/>
    <w:rsid w:val="00ED3264"/>
    <w:rsid w:val="00EE4454"/>
    <w:rsid w:val="00F05351"/>
    <w:rsid w:val="00F10086"/>
    <w:rsid w:val="00F27790"/>
    <w:rsid w:val="00F36FB6"/>
    <w:rsid w:val="00F43AAA"/>
    <w:rsid w:val="00FA18E8"/>
    <w:rsid w:val="00FA4957"/>
    <w:rsid w:val="00FB5B22"/>
    <w:rsid w:val="00FC707F"/>
    <w:rsid w:val="05372AD1"/>
    <w:rsid w:val="067F20F8"/>
    <w:rsid w:val="084C4D97"/>
    <w:rsid w:val="08577C79"/>
    <w:rsid w:val="092F44B4"/>
    <w:rsid w:val="09B24EA6"/>
    <w:rsid w:val="0B7B5C01"/>
    <w:rsid w:val="0E3C1CFB"/>
    <w:rsid w:val="0E802C9E"/>
    <w:rsid w:val="0EB320EE"/>
    <w:rsid w:val="0EEC068F"/>
    <w:rsid w:val="105333A0"/>
    <w:rsid w:val="11562203"/>
    <w:rsid w:val="120D2BD8"/>
    <w:rsid w:val="12733246"/>
    <w:rsid w:val="13920765"/>
    <w:rsid w:val="160831F0"/>
    <w:rsid w:val="171952CF"/>
    <w:rsid w:val="179662E5"/>
    <w:rsid w:val="1B656D35"/>
    <w:rsid w:val="1B6D0A2F"/>
    <w:rsid w:val="1BC52D7A"/>
    <w:rsid w:val="1C146065"/>
    <w:rsid w:val="1C760ACE"/>
    <w:rsid w:val="1C8869E7"/>
    <w:rsid w:val="1D0C789D"/>
    <w:rsid w:val="1D3D44C0"/>
    <w:rsid w:val="1DF401B0"/>
    <w:rsid w:val="1E304062"/>
    <w:rsid w:val="1E3359E7"/>
    <w:rsid w:val="223869B9"/>
    <w:rsid w:val="22C1079D"/>
    <w:rsid w:val="22E3322E"/>
    <w:rsid w:val="25F22193"/>
    <w:rsid w:val="27650CF8"/>
    <w:rsid w:val="27F75178"/>
    <w:rsid w:val="293935AF"/>
    <w:rsid w:val="2A10740B"/>
    <w:rsid w:val="2BCE67FF"/>
    <w:rsid w:val="2DF15775"/>
    <w:rsid w:val="31153D12"/>
    <w:rsid w:val="31157702"/>
    <w:rsid w:val="364C4922"/>
    <w:rsid w:val="3CAD107C"/>
    <w:rsid w:val="3CD472F5"/>
    <w:rsid w:val="3DAC36E8"/>
    <w:rsid w:val="3E2F5840"/>
    <w:rsid w:val="3F5D0DFB"/>
    <w:rsid w:val="430243E7"/>
    <w:rsid w:val="45756480"/>
    <w:rsid w:val="45D75181"/>
    <w:rsid w:val="46080139"/>
    <w:rsid w:val="4664400A"/>
    <w:rsid w:val="474355C9"/>
    <w:rsid w:val="48350E07"/>
    <w:rsid w:val="486B7C39"/>
    <w:rsid w:val="49A5428F"/>
    <w:rsid w:val="4BBF74EC"/>
    <w:rsid w:val="4BF058F8"/>
    <w:rsid w:val="4C3E2B07"/>
    <w:rsid w:val="4C687B84"/>
    <w:rsid w:val="4F234886"/>
    <w:rsid w:val="524B7E17"/>
    <w:rsid w:val="538B4884"/>
    <w:rsid w:val="54F60147"/>
    <w:rsid w:val="551C212C"/>
    <w:rsid w:val="55757AA6"/>
    <w:rsid w:val="55820051"/>
    <w:rsid w:val="5814471C"/>
    <w:rsid w:val="59512EA0"/>
    <w:rsid w:val="597E2724"/>
    <w:rsid w:val="5BBE797A"/>
    <w:rsid w:val="5BE17573"/>
    <w:rsid w:val="5BF628FC"/>
    <w:rsid w:val="5CB97DE9"/>
    <w:rsid w:val="5CD32865"/>
    <w:rsid w:val="5CD54B6C"/>
    <w:rsid w:val="5D011713"/>
    <w:rsid w:val="5F941941"/>
    <w:rsid w:val="62CC6158"/>
    <w:rsid w:val="63112D6F"/>
    <w:rsid w:val="632616DC"/>
    <w:rsid w:val="64542A70"/>
    <w:rsid w:val="64B61C3E"/>
    <w:rsid w:val="6E654290"/>
    <w:rsid w:val="6ED37645"/>
    <w:rsid w:val="6F960931"/>
    <w:rsid w:val="71A462ED"/>
    <w:rsid w:val="71E41188"/>
    <w:rsid w:val="7223194D"/>
    <w:rsid w:val="75F66C28"/>
    <w:rsid w:val="768C6281"/>
    <w:rsid w:val="78AF4896"/>
    <w:rsid w:val="793B4B8A"/>
    <w:rsid w:val="79654980"/>
    <w:rsid w:val="7A2F7467"/>
    <w:rsid w:val="7F42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annotation text"/>
    <w:basedOn w:val="1"/>
    <w:link w:val="15"/>
    <w:unhideWhenUsed/>
    <w:qFormat/>
    <w:uiPriority w:val="99"/>
    <w:pPr>
      <w:jc w:val="left"/>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w:basedOn w:val="1"/>
    <w:qFormat/>
    <w:uiPriority w:val="0"/>
    <w:pPr>
      <w:ind w:left="200" w:hanging="200" w:hangingChars="200"/>
    </w:pPr>
    <w:rPr>
      <w:rFonts w:ascii="Calibri" w:hAnsi="Calibri" w:eastAsia="宋体" w:cs="Times New Roman"/>
    </w:rPr>
  </w:style>
  <w:style w:type="paragraph" w:styleId="7">
    <w:name w:val="Title"/>
    <w:basedOn w:val="1"/>
    <w:qFormat/>
    <w:uiPriority w:val="0"/>
    <w:pPr>
      <w:adjustRightInd w:val="0"/>
      <w:jc w:val="center"/>
      <w:textAlignment w:val="baseline"/>
    </w:pPr>
    <w:rPr>
      <w:rFonts w:ascii="@黑体" w:eastAsia="@黑体"/>
      <w:kern w:val="0"/>
      <w:sz w:val="44"/>
      <w:szCs w:val="2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批注文字 字符"/>
    <w:basedOn w:val="10"/>
    <w:link w:val="3"/>
    <w:qFormat/>
    <w:uiPriority w:val="99"/>
  </w:style>
  <w:style w:type="paragraph" w:customStyle="1" w:styleId="16">
    <w:name w:val="正文_16"/>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1636</Words>
  <Characters>9331</Characters>
  <Lines>77</Lines>
  <Paragraphs>21</Paragraphs>
  <TotalTime>78</TotalTime>
  <ScaleCrop>false</ScaleCrop>
  <LinksUpToDate>false</LinksUpToDate>
  <CharactersWithSpaces>10946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2021-11-03T13:48:00Z</dcterms:created>
  <dc:creator>Allen Lian</dc:creator>
  <cp:lastModifiedBy>志裕</cp:lastModifiedBy>
  <cp:lastPrinted>2021-03-09T01:55:00Z</cp:lastPrinted>
  <dcterms:modified xsi:type="dcterms:W3CDTF">2021-11-19T07:07:24Z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45ABC30C17CD4038A4E0BBC55BD0BFB6</vt:lpwstr>
  </property>
</Properties>
</file>